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万宁市人民政府2018年度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政府信息公开年度报告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本年报根据《中华人民共和国政府信息公开条例》（以下称《条例》）编制。全文包括</w:t>
      </w:r>
      <w:r>
        <w:rPr>
          <w:rFonts w:hint="eastAsia" w:ascii="仿宋_GB2312" w:hAnsi="仿宋_GB2312" w:eastAsia="仿宋_GB2312" w:cs="仿宋_GB2312"/>
          <w:sz w:val="32"/>
          <w:szCs w:val="32"/>
          <w:lang w:val="en-US" w:eastAsia="zh-CN"/>
        </w:rPr>
        <w:t>2018年主要工作</w:t>
      </w:r>
      <w:r>
        <w:rPr>
          <w:rFonts w:hint="eastAsia" w:ascii="仿宋_GB2312" w:hAnsi="仿宋_GB2312" w:eastAsia="仿宋_GB2312" w:cs="仿宋_GB2312"/>
          <w:sz w:val="32"/>
          <w:szCs w:val="32"/>
          <w:lang w:eastAsia="zh-CN"/>
        </w:rPr>
        <w:t>情况、收费及减免情况、因政府信息公开申请行政复议、提起行政诉讼情况、存在问题和下一步计划等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部分。本年报中所列数据的统计期限自2018年1月1日起至2018年12月31日止。本年报可在万宁市人民政府网站（http://wanning.hainan.gov.cn/）下载。如对本年报有任何疑问，请与万宁市人民政府办公室联系（联系地址：万宁市党政办公大楼616，邮编：571500，电话：0898-62222955,电子邮箱：wnzfb</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hainan.gov.cn）。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一、2018年主要工作情况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网站信息发布情况。</w:t>
      </w:r>
      <w:r>
        <w:rPr>
          <w:rFonts w:hint="eastAsia" w:ascii="仿宋_GB2312" w:hAnsi="仿宋_GB2312" w:eastAsia="仿宋_GB2312" w:cs="仿宋_GB2312"/>
          <w:sz w:val="32"/>
          <w:szCs w:val="32"/>
          <w:lang w:eastAsia="zh-CN"/>
        </w:rPr>
        <w:t>2018年万宁市人民政府网信息发布总量</w:t>
      </w:r>
      <w:r>
        <w:rPr>
          <w:rFonts w:hint="eastAsia" w:ascii="仿宋_GB2312" w:hAnsi="仿宋_GB2312" w:eastAsia="仿宋_GB2312" w:cs="仿宋_GB2312"/>
          <w:sz w:val="32"/>
          <w:szCs w:val="32"/>
          <w:lang w:val="en-US" w:eastAsia="zh-CN"/>
        </w:rPr>
        <w:t>4055</w:t>
      </w:r>
      <w:r>
        <w:rPr>
          <w:rFonts w:hint="eastAsia" w:ascii="仿宋_GB2312" w:hAnsi="仿宋_GB2312" w:eastAsia="仿宋_GB2312" w:cs="仿宋_GB2312"/>
          <w:sz w:val="32"/>
          <w:szCs w:val="32"/>
          <w:lang w:eastAsia="zh-CN"/>
        </w:rPr>
        <w:t>条，其中概况类信息</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lang w:eastAsia="zh-CN"/>
        </w:rPr>
        <w:t>条，政务动态类信息</w:t>
      </w:r>
      <w:r>
        <w:rPr>
          <w:rFonts w:hint="eastAsia" w:ascii="仿宋_GB2312" w:hAnsi="仿宋_GB2312" w:eastAsia="仿宋_GB2312" w:cs="仿宋_GB2312"/>
          <w:sz w:val="32"/>
          <w:szCs w:val="32"/>
          <w:lang w:val="en-US" w:eastAsia="zh-CN"/>
        </w:rPr>
        <w:t>2399</w:t>
      </w:r>
      <w:r>
        <w:rPr>
          <w:rFonts w:hint="eastAsia" w:ascii="仿宋_GB2312" w:hAnsi="仿宋_GB2312" w:eastAsia="仿宋_GB2312" w:cs="仿宋_GB2312"/>
          <w:sz w:val="32"/>
          <w:szCs w:val="32"/>
          <w:lang w:eastAsia="zh-CN"/>
        </w:rPr>
        <w:t>条，政府信息公开专栏发布政府信息</w:t>
      </w:r>
      <w:r>
        <w:rPr>
          <w:rFonts w:hint="eastAsia" w:ascii="仿宋_GB2312" w:hAnsi="仿宋_GB2312" w:eastAsia="仿宋_GB2312" w:cs="仿宋_GB2312"/>
          <w:sz w:val="32"/>
          <w:szCs w:val="32"/>
          <w:lang w:val="en-US" w:eastAsia="zh-CN"/>
        </w:rPr>
        <w:t>1424</w:t>
      </w:r>
      <w:r>
        <w:rPr>
          <w:rFonts w:hint="eastAsia" w:ascii="仿宋_GB2312" w:hAnsi="仿宋_GB2312" w:eastAsia="仿宋_GB2312" w:cs="仿宋_GB2312"/>
          <w:sz w:val="32"/>
          <w:szCs w:val="32"/>
          <w:lang w:eastAsia="zh-CN"/>
        </w:rPr>
        <w:t>条。通过移动新媒体发布信息</w:t>
      </w:r>
      <w:r>
        <w:rPr>
          <w:rFonts w:hint="eastAsia" w:ascii="仿宋_GB2312" w:hAnsi="仿宋_GB2312" w:eastAsia="仿宋_GB2312" w:cs="仿宋_GB2312"/>
          <w:sz w:val="32"/>
          <w:szCs w:val="32"/>
          <w:lang w:val="en-US" w:eastAsia="zh-CN"/>
        </w:rPr>
        <w:t>2626</w:t>
      </w:r>
      <w:r>
        <w:rPr>
          <w:rFonts w:hint="eastAsia" w:ascii="仿宋_GB2312" w:hAnsi="仿宋_GB2312" w:eastAsia="仿宋_GB2312" w:cs="仿宋_GB2312"/>
          <w:sz w:val="32"/>
          <w:szCs w:val="32"/>
          <w:lang w:eastAsia="zh-CN"/>
        </w:rPr>
        <w:t>条，其中通过微博发布信息</w:t>
      </w:r>
      <w:r>
        <w:rPr>
          <w:rFonts w:hint="eastAsia" w:ascii="仿宋_GB2312" w:hAnsi="仿宋_GB2312" w:eastAsia="仿宋_GB2312" w:cs="仿宋_GB2312"/>
          <w:sz w:val="32"/>
          <w:szCs w:val="32"/>
          <w:lang w:val="en-US" w:eastAsia="zh-CN"/>
        </w:rPr>
        <w:t>650</w:t>
      </w:r>
      <w:r>
        <w:rPr>
          <w:rFonts w:hint="eastAsia" w:ascii="仿宋_GB2312" w:hAnsi="仿宋_GB2312" w:eastAsia="仿宋_GB2312" w:cs="仿宋_GB2312"/>
          <w:sz w:val="32"/>
          <w:szCs w:val="32"/>
          <w:lang w:eastAsia="zh-CN"/>
        </w:rPr>
        <w:t>条，通过微信发布信息</w:t>
      </w:r>
      <w:r>
        <w:rPr>
          <w:rFonts w:hint="eastAsia" w:ascii="仿宋_GB2312" w:hAnsi="仿宋_GB2312" w:eastAsia="仿宋_GB2312" w:cs="仿宋_GB2312"/>
          <w:sz w:val="32"/>
          <w:szCs w:val="32"/>
          <w:lang w:val="en-US" w:eastAsia="zh-CN"/>
        </w:rPr>
        <w:t>1976</w:t>
      </w:r>
      <w:r>
        <w:rPr>
          <w:rFonts w:hint="eastAsia" w:ascii="仿宋_GB2312" w:hAnsi="仿宋_GB2312" w:eastAsia="仿宋_GB2312" w:cs="仿宋_GB2312"/>
          <w:sz w:val="32"/>
          <w:szCs w:val="32"/>
          <w:lang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sectPr>
          <w:footerReference r:id="rId4" w:type="default"/>
          <w:headerReference r:id="rId3" w:type="even"/>
          <w:footerReference r:id="rId5" w:type="even"/>
          <w:pgSz w:w="11906" w:h="16838"/>
          <w:pgMar w:top="1440" w:right="1800" w:bottom="1440" w:left="1800" w:header="851" w:footer="992" w:gutter="0"/>
          <w:pgNumType w:fmt="decimal"/>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923665"/>
            <wp:effectExtent l="4445" t="4445" r="2095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政府信息主动公开情况。</w:t>
      </w:r>
      <w:r>
        <w:rPr>
          <w:rFonts w:hint="eastAsia" w:ascii="仿宋_GB2312" w:hAnsi="仿宋_GB2312" w:eastAsia="仿宋_GB2312" w:cs="仿宋_GB2312"/>
          <w:sz w:val="32"/>
          <w:szCs w:val="32"/>
          <w:lang w:eastAsia="zh-CN"/>
        </w:rPr>
        <w:t>全市各单位通过万宁市政府门户网站主动公开政府信息</w:t>
      </w:r>
      <w:r>
        <w:rPr>
          <w:rFonts w:hint="eastAsia" w:ascii="仿宋_GB2312" w:hAnsi="仿宋_GB2312" w:eastAsia="仿宋_GB2312" w:cs="仿宋_GB2312"/>
          <w:sz w:val="32"/>
          <w:szCs w:val="32"/>
          <w:lang w:val="en-US" w:eastAsia="zh-CN"/>
        </w:rPr>
        <w:t>1424</w:t>
      </w:r>
      <w:r>
        <w:rPr>
          <w:rFonts w:hint="eastAsia" w:ascii="仿宋_GB2312" w:hAnsi="仿宋_GB2312" w:eastAsia="仿宋_GB2312" w:cs="仿宋_GB2312"/>
          <w:sz w:val="32"/>
          <w:szCs w:val="32"/>
          <w:lang w:eastAsia="zh-CN"/>
        </w:rPr>
        <w:t>条。其中，规范性文</w:t>
      </w:r>
      <w:bookmarkStart w:id="0" w:name="_GoBack"/>
      <w:bookmarkEnd w:id="0"/>
      <w:r>
        <w:rPr>
          <w:rFonts w:hint="eastAsia" w:ascii="仿宋_GB2312" w:hAnsi="仿宋_GB2312" w:eastAsia="仿宋_GB2312" w:cs="仿宋_GB2312"/>
          <w:sz w:val="32"/>
          <w:szCs w:val="32"/>
          <w:lang w:eastAsia="zh-CN"/>
        </w:rPr>
        <w:t>件信息</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条，政策解读信息</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条，财政信息2</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lang w:eastAsia="zh-CN"/>
        </w:rPr>
        <w:t>条，人事信息</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lang w:eastAsia="zh-CN"/>
        </w:rPr>
        <w:t>条，民生建设信息</w:t>
      </w:r>
      <w:r>
        <w:rPr>
          <w:rFonts w:hint="eastAsia" w:ascii="仿宋_GB2312" w:hAnsi="仿宋_GB2312" w:eastAsia="仿宋_GB2312" w:cs="仿宋_GB2312"/>
          <w:sz w:val="32"/>
          <w:szCs w:val="32"/>
          <w:lang w:val="en-US" w:eastAsia="zh-CN"/>
        </w:rPr>
        <w:t>351</w:t>
      </w:r>
      <w:r>
        <w:rPr>
          <w:rFonts w:hint="eastAsia" w:ascii="仿宋_GB2312" w:hAnsi="仿宋_GB2312" w:eastAsia="仿宋_GB2312" w:cs="仿宋_GB2312"/>
          <w:sz w:val="32"/>
          <w:szCs w:val="32"/>
          <w:lang w:eastAsia="zh-CN"/>
        </w:rPr>
        <w:t>条，市场监管信息12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条，重大建设项目信息2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条，计划规划信息</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lang w:eastAsia="zh-CN"/>
        </w:rPr>
        <w:t>条，政府采购信息</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4085590"/>
            <wp:effectExtent l="4445" t="4445" r="20955"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依申请公开情况。</w:t>
      </w:r>
      <w:r>
        <w:rPr>
          <w:rFonts w:hint="eastAsia" w:ascii="仿宋_GB2312" w:hAnsi="仿宋_GB2312" w:eastAsia="仿宋_GB2312" w:cs="仿宋_GB2312"/>
          <w:sz w:val="32"/>
          <w:szCs w:val="32"/>
          <w:lang w:eastAsia="zh-CN"/>
        </w:rPr>
        <w:t>我市共受理依申请公开申请1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件，其中，当面申请0件，网络申请1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件，信函申请1件，传真申请0件。已答复</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件，其中，属于已主动公开范围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件；同意公开答复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件；同意部分公开答复0件；不同意公开答复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件，其中不是《条例》所指政府信息</w:t>
      </w:r>
      <w:r>
        <w:rPr>
          <w:rFonts w:hint="eastAsia" w:ascii="仿宋_GB2312" w:hAnsi="仿宋_GB2312" w:eastAsia="仿宋_GB2312" w:cs="仿宋_GB2312"/>
          <w:sz w:val="32"/>
          <w:szCs w:val="32"/>
          <w:lang w:val="en-US" w:eastAsia="zh-CN"/>
        </w:rPr>
        <w:t>1件，法律法规规定的其他情形2件；</w:t>
      </w:r>
      <w:r>
        <w:rPr>
          <w:rFonts w:hint="eastAsia" w:ascii="仿宋_GB2312" w:hAnsi="仿宋_GB2312" w:eastAsia="仿宋_GB2312" w:cs="仿宋_GB2312"/>
          <w:sz w:val="32"/>
          <w:szCs w:val="32"/>
          <w:lang w:eastAsia="zh-CN"/>
        </w:rPr>
        <w:t>不属于本机关公开</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件；申请信息不存在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件；告知作出更改补充0件；告知通过其他途径办理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4171315"/>
            <wp:effectExtent l="5080" t="4445" r="20320" b="152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（四）加强信息公开工作制度化建设。</w:t>
      </w:r>
      <w:r>
        <w:rPr>
          <w:rFonts w:hint="eastAsia" w:ascii="仿宋_GB2312" w:hAnsi="仿宋_GB2312" w:eastAsia="仿宋_GB2312" w:cs="仿宋_GB2312"/>
          <w:sz w:val="32"/>
          <w:szCs w:val="32"/>
          <w:lang w:eastAsia="zh-CN"/>
        </w:rPr>
        <w:t>按照国务院、省政府规定要求，成立市政府政务公开协调领导小组，进一步加强我市政务公开工作的组织领导，并完善相关政务公开协调机制。同时，不断修改完善信息公开管理体制、信息发布审批制度、政府网站信息发布管理制度、政府信息公开固化为公文拟制环节等内容动态扩充和严格审查工作机制。重新梳理完善信息公开工作制度规范和业务工作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（五）确保政务公开工作要点任务落实。</w:t>
      </w:r>
      <w:r>
        <w:rPr>
          <w:rFonts w:hint="eastAsia" w:ascii="仿宋_GB2312" w:hAnsi="仿宋_GB2312" w:eastAsia="仿宋_GB2312" w:cs="仿宋_GB2312"/>
          <w:sz w:val="32"/>
          <w:szCs w:val="32"/>
          <w:lang w:eastAsia="zh-CN"/>
        </w:rPr>
        <w:t>按照国务院、省政府年度政务公开工作要点部署要求，制定发布《关于印发万宁市2018年政务公开工作要点的通知》，明确责任单位和公开内容，全面落实决策、执行、管理、服务和结果“五公开”。精细化落实推动实施公共资源配置、重大建设项目批准和实施、公益事业建设等重点领域信息公开内容。我市各部门的政府信息公开指南、目录、信息公开年度报告等在政府门户网站显著位置统一格式公开，并要求及时做好内容更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在政府信息公开工作中，我市没有对公民、法人和其他组织收取任何费用。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三、因政府信息公开申请行政复议、提起行政诉讼情况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我市发生与政府信息公开有关的行政复议0件，行政诉讼0件。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四、存在问题和下一步计划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2018年，我市信息公开工作虽然取得了一定成效，但在公开的内容、服务能力和规范性方面还有待提高。个别单位和领域主动公开的不够深入和全面；与企业和群众生产、生活密切相关的办事服务信息公开的不够细致；政府信息公开工作开展得还不平衡，少数部门公开意识不强，工作力度不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后，我们仍把制度化、规范化、常态化建设作为推进政府信息公开工作的重点。一是进一步完善载体建设。进一步调整、充实和完善市政府门户网站政府信息公开页面，及时发布各类政府信息。二是进一步严把信息质量。把人民群众普遍关心、涉及人民群众切身利益的公开内容作为工作重点抓紧抓实，严格审核公开内容，真正做到“以公开为原则，不公开为例外”。三是进一步加大督查考核。加大政府信息公开工作的考核力度，加强对政府信息公开工作的检查和抽查，特别是对部分进度相对迟缓和公开信息不完整的单位加大督查和曝光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日</w:t>
      </w:r>
    </w:p>
    <w:sectPr>
      <w:footerReference r:id="rId6" w:type="default"/>
      <w:footerReference r:id="rId7" w:type="even"/>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p>
  <w:sdt>
    <w:sdtPr>
      <w:id w:val="68708072"/>
    </w:sdtPr>
    <w:sdtContent>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89535</wp:posOffset>
                  </wp:positionV>
                  <wp:extent cx="244475" cy="2025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44475" cy="202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1</w:t>
                              </w:r>
                              <w:r>
                                <w:rPr>
                                  <w:rFonts w:hint="eastAsia" w:eastAsiaTheme="minorEastAsia"/>
                                  <w:sz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05pt;height:15.95pt;width:19.25pt;mso-position-horizontal:outside;mso-position-horizontal-relative:margin;z-index:251658240;mso-width-relative:page;mso-height-relative:page;" filled="f" stroked="f" coordsize="21600,21600" o:gfxdata="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ajhNUAAAAFAQAADwAA&#10;AAAAAAABACAAAAAiAAAAZHJzL2Rvd25yZXYueG1sUEsBAhQAFAAAAAgAh07iQHqrIPsZAgAAEwQA&#10;AA4AAAAAAAAAAQAgAAAAJAEAAGRycy9lMm9Eb2MueG1sUEsFBgAAAAAGAAYAWQEAAK8FAAAAAA==&#10;">
                  <v:fill on="f" focussize="0,0"/>
                  <v:stroke on="f" weight="0.5pt"/>
                  <v:imagedata o:title=""/>
                  <o:lock v:ext="edit" aspectratio="f"/>
                  <v:textbox inset="0mm,0mm,0mm,0mm">
                    <w:txbxContent>
                      <w:p>
                        <w:pPr>
                          <w:snapToGrid w:val="0"/>
                          <w:rPr>
                            <w:rFonts w:hint="eastAsia" w:eastAsiaTheme="minorEastAsia"/>
                            <w:sz w:val="2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1</w:t>
                        </w:r>
                        <w:r>
                          <w:rPr>
                            <w:rFonts w:hint="eastAsia" w:eastAsiaTheme="minorEastAsia"/>
                            <w:sz w:val="28"/>
                            <w:lang w:eastAsia="zh-CN"/>
                          </w:rPr>
                          <w:fldChar w:fldCharType="end"/>
                        </w:r>
                      </w:p>
                    </w:txbxContent>
                  </v:textbox>
                </v:shape>
              </w:pict>
            </mc:Fallback>
          </mc:AlternateContent>
        </w:r>
      </w:p>
      <w:p>
        <w:pPr>
          <w:pStyle w:val="4"/>
          <w:tabs>
            <w:tab w:val="center" w:pos="4213"/>
          </w:tabs>
          <w:jc w:val="center"/>
        </w:pPr>
        <w:r>
          <w:rPr>
            <w:rFonts w:hint="eastAsia"/>
            <w:lang w:eastAsia="zh-CN"/>
          </w:rPr>
          <w:tab/>
        </w:r>
      </w:p>
    </w:sdtContent>
  </w:sdt>
  <w:p>
    <w:pPr>
      <w:pStyle w:val="4"/>
      <w:jc w:val="left"/>
    </w:pPr>
    <w:r>
      <w:rPr>
        <w:rFonts w:hint="eastAsia"/>
        <w:lang w:eastAsia="zh-CN"/>
      </w:rPr>
      <w:tab/>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59264;mso-width-relative:page;mso-height-relative:page;" filled="f" stroked="f" coordsize="21600,21600" o:gfxdata="UEsDBAoAAAAAAIdO4kAAAAAAAAAAAAAAAAAEAAAAZHJzL1BLAwQUAAAACACHTuJAQjJzYd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jJzYdYAAAAIAQAADwAAAAAA&#10;AAABACAAAAAiAAAAZHJzL2Rvd25yZXYueG1sUEsBAhQAFAAAAAgAh07iQNTVs2AVAgAAEwQAAA4A&#10;AAAAAAAAAQAgAAAAJQEAAGRycy9lMm9Eb2MueG1sUEsFBgAAAAAGAAYAWQEAAKw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p>
  <w:sdt>
    <w:sdtPr>
      <w:id w:val="68708072"/>
    </w:sdtPr>
    <w:sdtContent>
      <w:p>
        <w:pPr>
          <w:pStyle w:val="4"/>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89535</wp:posOffset>
                  </wp:positionV>
                  <wp:extent cx="244475" cy="2025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44475" cy="202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1</w:t>
                              </w:r>
                              <w:r>
                                <w:rPr>
                                  <w:rFonts w:hint="eastAsia" w:eastAsiaTheme="minorEastAsia"/>
                                  <w:sz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05pt;height:15.95pt;width:19.25pt;mso-position-horizontal:outside;mso-position-horizontal-relative:margin;z-index:251665408;mso-width-relative:page;mso-height-relative:page;" filled="f" stroked="f" coordsize="21600,21600" o:gfxdata="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P2o4TVAAAABQEAAA8A&#10;AAAAAAAAAQAgAAAAIgAAAGRycy9kb3ducmV2LnhtbFBLAQIUABQAAAAIAIdO4kDmueU0GgIAABUE&#10;AAAOAAAAAAAAAAEAIAAAACQBAABkcnMvZTJvRG9jLnhtbFBLBQYAAAAABgAGAFkBAACwBQAAAAA=&#10;">
                  <v:fill on="f" focussize="0,0"/>
                  <v:stroke on="f" weight="0.5pt"/>
                  <v:imagedata o:title=""/>
                  <o:lock v:ext="edit" aspectratio="f"/>
                  <v:textbox inset="0mm,0mm,0mm,0mm">
                    <w:txbxContent>
                      <w:p>
                        <w:pPr>
                          <w:snapToGrid w:val="0"/>
                          <w:rPr>
                            <w:rFonts w:hint="eastAsia" w:eastAsiaTheme="minorEastAsia"/>
                            <w:sz w:val="2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1</w:t>
                        </w:r>
                        <w:r>
                          <w:rPr>
                            <w:rFonts w:hint="eastAsia" w:eastAsiaTheme="minorEastAsia"/>
                            <w:sz w:val="28"/>
                            <w:lang w:eastAsia="zh-CN"/>
                          </w:rPr>
                          <w:fldChar w:fldCharType="end"/>
                        </w:r>
                      </w:p>
                    </w:txbxContent>
                  </v:textbox>
                </v:shape>
              </w:pict>
            </mc:Fallback>
          </mc:AlternateContent>
        </w:r>
      </w:p>
      <w:p>
        <w:pPr>
          <w:pStyle w:val="4"/>
          <w:tabs>
            <w:tab w:val="center" w:pos="4213"/>
          </w:tabs>
          <w:jc w:val="center"/>
        </w:pPr>
        <w:r>
          <w:rPr>
            <w:rFonts w:hint="eastAsia"/>
            <w:lang w:eastAsia="zh-CN"/>
          </w:rPr>
          <w:tab/>
        </w:r>
      </w:p>
    </w:sdtContent>
  </w:sdt>
  <w:p>
    <w:pPr>
      <w:pStyle w:val="4"/>
      <w:jc w:val="left"/>
    </w:pPr>
    <w:r>
      <w:rPr>
        <w:rFonts w:hint="eastAsia"/>
        <w:lang w:eastAsia="zh-CN"/>
      </w:rPr>
      <w:tab/>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2</w:t>
                          </w:r>
                          <w:r>
                            <w:rPr>
                              <w:rFonts w:hint="eastAsia" w:eastAsiaTheme="minorEastAsia"/>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70528;mso-width-relative:page;mso-height-relative:page;" filled="f" stroked="f" coordsize="21600,21600" o:gfxdata="UEsDBAoAAAAAAIdO4kAAAAAAAAAAAAAAAAAEAAAAZHJzL1BLAwQUAAAACACHTuJAQjJzYd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RiTUwkld5TpcjDZvN&#10;GnhV8usC1S9QSwMEFAAAAAgAh07iQM9tdHoS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jJzYdYAAAAIAQAADwAAAAAAAAAB&#10;ACAAAAAiAAAAZHJzL2Rvd25yZXYueG1sUEsBAhQAFAAAAAgAh07iQM9tdHoSAgAAFQ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eastAsiaTheme="minorEastAsia"/>
                        <w:sz w:val="28"/>
                        <w:lang w:eastAsia="zh-CN"/>
                      </w:rPr>
                    </w:pPr>
                    <w:r>
                      <w:rPr>
                        <w:rFonts w:hint="eastAsia" w:eastAsiaTheme="minorEastAsia"/>
                        <w:sz w:val="28"/>
                        <w:lang w:eastAsia="zh-CN"/>
                      </w:rPr>
                      <w:fldChar w:fldCharType="begin"/>
                    </w:r>
                    <w:r>
                      <w:rPr>
                        <w:rFonts w:hint="eastAsia" w:eastAsiaTheme="minorEastAsia"/>
                        <w:sz w:val="28"/>
                        <w:lang w:eastAsia="zh-CN"/>
                      </w:rPr>
                      <w:instrText xml:space="preserve"> PAGE  \* MERGEFORMAT </w:instrText>
                    </w:r>
                    <w:r>
                      <w:rPr>
                        <w:rFonts w:hint="eastAsia" w:eastAsiaTheme="minorEastAsia"/>
                        <w:sz w:val="28"/>
                        <w:lang w:eastAsia="zh-CN"/>
                      </w:rPr>
                      <w:fldChar w:fldCharType="separate"/>
                    </w:r>
                    <w:r>
                      <w:rPr>
                        <w:rFonts w:eastAsiaTheme="minorEastAsia"/>
                        <w:sz w:val="28"/>
                      </w:rPr>
                      <w:t>2</w:t>
                    </w:r>
                    <w:r>
                      <w:rPr>
                        <w:rFonts w:hint="eastAsia" w:eastAsiaTheme="minorEastAsia"/>
                        <w:sz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653464">
    <w:nsid w:val="5C9ADED8"/>
    <w:multiLevelType w:val="singleLevel"/>
    <w:tmpl w:val="5C9ADED8"/>
    <w:lvl w:ilvl="0" w:tentative="1">
      <w:start w:val="1"/>
      <w:numFmt w:val="chineseCounting"/>
      <w:suff w:val="nothing"/>
      <w:lvlText w:val="（%1）"/>
      <w:lvlJc w:val="left"/>
    </w:lvl>
  </w:abstractNum>
  <w:num w:numId="1">
    <w:abstractNumId w:val="1553653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B"/>
    <w:rsid w:val="000038CF"/>
    <w:rsid w:val="00047A69"/>
    <w:rsid w:val="00075F25"/>
    <w:rsid w:val="000A0FBC"/>
    <w:rsid w:val="000A63AC"/>
    <w:rsid w:val="000D40E6"/>
    <w:rsid w:val="000F6044"/>
    <w:rsid w:val="00102B67"/>
    <w:rsid w:val="00113745"/>
    <w:rsid w:val="00141D38"/>
    <w:rsid w:val="001727E3"/>
    <w:rsid w:val="00190B78"/>
    <w:rsid w:val="001C6FCE"/>
    <w:rsid w:val="001D08E5"/>
    <w:rsid w:val="001E6753"/>
    <w:rsid w:val="001F478D"/>
    <w:rsid w:val="0021346F"/>
    <w:rsid w:val="00220D7B"/>
    <w:rsid w:val="00246783"/>
    <w:rsid w:val="0028037C"/>
    <w:rsid w:val="002D111C"/>
    <w:rsid w:val="002E2F2C"/>
    <w:rsid w:val="002F7B73"/>
    <w:rsid w:val="00310B89"/>
    <w:rsid w:val="00327A10"/>
    <w:rsid w:val="00337EF9"/>
    <w:rsid w:val="00370CB7"/>
    <w:rsid w:val="003949DA"/>
    <w:rsid w:val="003A50C4"/>
    <w:rsid w:val="003C4CBF"/>
    <w:rsid w:val="003C6F11"/>
    <w:rsid w:val="003D4E5F"/>
    <w:rsid w:val="003E0072"/>
    <w:rsid w:val="003E3D4C"/>
    <w:rsid w:val="00401683"/>
    <w:rsid w:val="00412B3C"/>
    <w:rsid w:val="00414ACE"/>
    <w:rsid w:val="0043048B"/>
    <w:rsid w:val="004347CC"/>
    <w:rsid w:val="00440344"/>
    <w:rsid w:val="00446A21"/>
    <w:rsid w:val="004B1604"/>
    <w:rsid w:val="004C18FE"/>
    <w:rsid w:val="004D5227"/>
    <w:rsid w:val="005230A9"/>
    <w:rsid w:val="00574BBE"/>
    <w:rsid w:val="005F233A"/>
    <w:rsid w:val="005F7C45"/>
    <w:rsid w:val="00601E13"/>
    <w:rsid w:val="00603901"/>
    <w:rsid w:val="00620127"/>
    <w:rsid w:val="00624676"/>
    <w:rsid w:val="006309C6"/>
    <w:rsid w:val="00650C53"/>
    <w:rsid w:val="00680223"/>
    <w:rsid w:val="006A7C3F"/>
    <w:rsid w:val="006B5B38"/>
    <w:rsid w:val="006F10B2"/>
    <w:rsid w:val="007007B6"/>
    <w:rsid w:val="00717C34"/>
    <w:rsid w:val="00720448"/>
    <w:rsid w:val="007325BD"/>
    <w:rsid w:val="00743DFD"/>
    <w:rsid w:val="00755CBE"/>
    <w:rsid w:val="00770172"/>
    <w:rsid w:val="00770935"/>
    <w:rsid w:val="00784C1E"/>
    <w:rsid w:val="007A3CCB"/>
    <w:rsid w:val="00802CDD"/>
    <w:rsid w:val="0085408E"/>
    <w:rsid w:val="00865F64"/>
    <w:rsid w:val="00874591"/>
    <w:rsid w:val="008B38DE"/>
    <w:rsid w:val="008D4828"/>
    <w:rsid w:val="008E3897"/>
    <w:rsid w:val="00913E8A"/>
    <w:rsid w:val="0093579B"/>
    <w:rsid w:val="009840F7"/>
    <w:rsid w:val="00984722"/>
    <w:rsid w:val="009B1F33"/>
    <w:rsid w:val="009C4BF3"/>
    <w:rsid w:val="009D0931"/>
    <w:rsid w:val="009D2E9C"/>
    <w:rsid w:val="009E4DB0"/>
    <w:rsid w:val="00A0686C"/>
    <w:rsid w:val="00A66189"/>
    <w:rsid w:val="00A66FF6"/>
    <w:rsid w:val="00AA07E0"/>
    <w:rsid w:val="00AA206D"/>
    <w:rsid w:val="00AB46BC"/>
    <w:rsid w:val="00AF3619"/>
    <w:rsid w:val="00B518FB"/>
    <w:rsid w:val="00B527C5"/>
    <w:rsid w:val="00B605C7"/>
    <w:rsid w:val="00B67EE8"/>
    <w:rsid w:val="00BC483F"/>
    <w:rsid w:val="00BD54EE"/>
    <w:rsid w:val="00BE7C01"/>
    <w:rsid w:val="00C13525"/>
    <w:rsid w:val="00C14ADC"/>
    <w:rsid w:val="00C17863"/>
    <w:rsid w:val="00C873AC"/>
    <w:rsid w:val="00CA020C"/>
    <w:rsid w:val="00CA7132"/>
    <w:rsid w:val="00CC3B27"/>
    <w:rsid w:val="00CE171F"/>
    <w:rsid w:val="00D02BD1"/>
    <w:rsid w:val="00D0432B"/>
    <w:rsid w:val="00D4041F"/>
    <w:rsid w:val="00D56959"/>
    <w:rsid w:val="00D56F14"/>
    <w:rsid w:val="00D879FF"/>
    <w:rsid w:val="00D950EC"/>
    <w:rsid w:val="00DA29AA"/>
    <w:rsid w:val="00DC61A1"/>
    <w:rsid w:val="00DC7A2B"/>
    <w:rsid w:val="00DE3DCB"/>
    <w:rsid w:val="00E0143B"/>
    <w:rsid w:val="00E140CB"/>
    <w:rsid w:val="00E21CB6"/>
    <w:rsid w:val="00E57C92"/>
    <w:rsid w:val="00E93A50"/>
    <w:rsid w:val="00E97BDA"/>
    <w:rsid w:val="00EC447B"/>
    <w:rsid w:val="00EC7670"/>
    <w:rsid w:val="00ED4DE4"/>
    <w:rsid w:val="00F0266E"/>
    <w:rsid w:val="00F16DAF"/>
    <w:rsid w:val="00F20996"/>
    <w:rsid w:val="00F20D52"/>
    <w:rsid w:val="00F20E5B"/>
    <w:rsid w:val="00F65F95"/>
    <w:rsid w:val="00F72C57"/>
    <w:rsid w:val="00F7367C"/>
    <w:rsid w:val="00FA7442"/>
    <w:rsid w:val="00FC5B9D"/>
    <w:rsid w:val="00FF5CDD"/>
    <w:rsid w:val="06DF2EC7"/>
    <w:rsid w:val="06E139D9"/>
    <w:rsid w:val="093A30F5"/>
    <w:rsid w:val="1D86420E"/>
    <w:rsid w:val="22BE5ABE"/>
    <w:rsid w:val="2F441DCB"/>
    <w:rsid w:val="36C07163"/>
    <w:rsid w:val="390F4E32"/>
    <w:rsid w:val="391063FB"/>
    <w:rsid w:val="5F4B726F"/>
    <w:rsid w:val="64F27E0D"/>
    <w:rsid w:val="6EC129ED"/>
    <w:rsid w:val="6FDC0B17"/>
    <w:rsid w:val="70715F13"/>
    <w:rsid w:val="77D8579C"/>
    <w:rsid w:val="78B62A77"/>
    <w:rsid w:val="7CEF4D8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00"/>
      <w:u w:val="none"/>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标题 1 Char"/>
    <w:basedOn w:val="7"/>
    <w:link w:val="2"/>
    <w:qFormat/>
    <w:uiPriority w:val="9"/>
    <w:rPr>
      <w:rFonts w:ascii="宋体" w:hAnsi="宋体" w:eastAsia="宋体" w:cs="宋体"/>
      <w:b/>
      <w:bCs/>
      <w:kern w:val="36"/>
      <w:sz w:val="48"/>
      <w:szCs w:val="4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sz="1400" b="0" i="0" baseline="0">
                <a:solidFill>
                  <a:schemeClr val="tx1"/>
                </a:solidFill>
                <a:effectLst/>
                <a:uFillTx/>
                <a:latin typeface="+mn-lt"/>
                <a:ea typeface="+mn-ea"/>
                <a:cs typeface="+mn-cs"/>
              </a:rPr>
              <a:t>网站信息发布情况</a:t>
            </a:r>
            <a:endParaRPr sz="1400" b="0" i="0" baseline="0">
              <a:solidFill>
                <a:schemeClr val="tx1"/>
              </a:solidFill>
              <a:effectLst/>
              <a:uFillTx/>
              <a:latin typeface="+mn-lt"/>
              <a:ea typeface="+mn-ea"/>
              <a:cs typeface="+mn-cs"/>
            </a:endParaRPr>
          </a:p>
          <a:p>
            <a:pPr algn="ctr" defTabSz="914400">
              <a:defRPr sz="1400" b="0" kern="1200" spc="0" baseline="0">
                <a:solidFill>
                  <a:schemeClr val="tx1">
                    <a:lumMod val="65000"/>
                    <a:lumOff val="35000"/>
                  </a:schemeClr>
                </a:solidFill>
                <a:latin typeface="+mn-lt"/>
                <a:ea typeface="+mn-ea"/>
                <a:cs typeface="+mn-cs"/>
              </a:defRPr>
            </a:pPr>
            <a:r>
              <a:rPr sz="1400" b="0" i="0" baseline="0">
                <a:solidFill>
                  <a:schemeClr val="tx1"/>
                </a:solidFill>
                <a:effectLst/>
                <a:uFillTx/>
                <a:latin typeface="+mn-lt"/>
                <a:ea typeface="+mn-ea"/>
                <a:cs typeface="+mn-cs"/>
              </a:rPr>
              <a:t>（</a:t>
            </a:r>
            <a:r>
              <a:rPr lang="en-US" altLang="zh-CN" sz="1400" b="0" i="0" baseline="0">
                <a:solidFill>
                  <a:schemeClr val="tx1"/>
                </a:solidFill>
                <a:effectLst/>
                <a:uFillTx/>
                <a:latin typeface="+mn-lt"/>
                <a:ea typeface="+mn-ea"/>
                <a:cs typeface="+mn-cs"/>
              </a:rPr>
              <a:t>4055</a:t>
            </a:r>
            <a:r>
              <a:rPr altLang="en-US" sz="1400" b="0" i="0" baseline="0">
                <a:solidFill>
                  <a:schemeClr val="tx1"/>
                </a:solidFill>
                <a:effectLst/>
                <a:uFillTx/>
                <a:latin typeface="+mn-lt"/>
                <a:ea typeface="+mn-ea"/>
                <a:cs typeface="+mn-cs"/>
              </a:rPr>
              <a:t>条</a:t>
            </a:r>
            <a:r>
              <a:rPr sz="1400" b="0" i="0" baseline="0">
                <a:solidFill>
                  <a:schemeClr val="tx1"/>
                </a:solidFill>
                <a:effectLst/>
                <a:uFillTx/>
                <a:latin typeface="+mn-lt"/>
                <a:ea typeface="+mn-ea"/>
                <a:cs typeface="+mn-cs"/>
              </a:rPr>
              <a:t>）</a:t>
            </a:r>
            <a:endParaRPr sz="1400" b="0" i="0" baseline="0">
              <a:solidFill>
                <a:schemeClr val="tx1"/>
              </a:solidFill>
              <a:effectLst/>
              <a:uFillTx/>
              <a:latin typeface="+mn-lt"/>
              <a:ea typeface="+mn-ea"/>
              <a:cs typeface="+mn-cs"/>
            </a:endParaRPr>
          </a:p>
        </c:rich>
      </c:tx>
      <c:layout/>
      <c:overlay val="0"/>
      <c:spPr>
        <a:noFill/>
        <a:ln>
          <a:noFill/>
        </a:ln>
        <a:effectLst/>
      </c:spPr>
    </c:title>
    <c:autoTitleDeleted val="0"/>
    <c:plotArea>
      <c:layout/>
      <c:pieChart>
        <c:varyColors val="1"/>
        <c:ser>
          <c:idx val="0"/>
          <c:order val="0"/>
          <c:tx>
            <c:strRef>
              <c:f>Sheet1!$B$1</c:f>
              <c:strCache>
                <c:ptCount val="1"/>
                <c:pt idx="0">
                  <c:v>信息发布情况（4055条）</c:v>
                </c:pt>
              </c:strCache>
            </c:strRef>
          </c:tx>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概况类</c:v>
                </c:pt>
                <c:pt idx="1">
                  <c:v>政务动态类</c:v>
                </c:pt>
                <c:pt idx="2">
                  <c:v>政府信息公开专栏</c:v>
                </c:pt>
              </c:strCache>
            </c:strRef>
          </c:cat>
          <c:val>
            <c:numRef>
              <c:f>Sheet1!$B$2:$B$4</c:f>
              <c:numCache>
                <c:formatCode>General</c:formatCode>
                <c:ptCount val="3"/>
                <c:pt idx="0" c:formatCode="General">
                  <c:v>250</c:v>
                </c:pt>
                <c:pt idx="1" c:formatCode="General">
                  <c:v>2399</c:v>
                </c:pt>
                <c:pt idx="2" c:formatCode="General">
                  <c:v>1424</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移动新媒体发布情况</a:t>
            </a:r>
            <a:endParaRPr>
              <a:solidFill>
                <a:schemeClr val="tx1"/>
              </a:solidFill>
              <a:uFillTx/>
            </a:endParaRPr>
          </a:p>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a:t>
            </a:r>
            <a:r>
              <a:rPr lang="en-US" altLang="zh-CN">
                <a:solidFill>
                  <a:schemeClr val="tx1"/>
                </a:solidFill>
                <a:uFillTx/>
              </a:rPr>
              <a:t>2626</a:t>
            </a:r>
            <a:r>
              <a:rPr altLang="en-US">
                <a:solidFill>
                  <a:schemeClr val="tx1"/>
                </a:solidFill>
                <a:uFillTx/>
              </a:rPr>
              <a:t>条</a:t>
            </a:r>
            <a:r>
              <a:rPr>
                <a:solidFill>
                  <a:schemeClr val="tx1"/>
                </a:solidFill>
                <a:uFillTx/>
              </a:rPr>
              <a:t>）</a:t>
            </a:r>
            <a:endParaRPr sz="1400" b="0" i="0" baseline="0">
              <a:solidFill>
                <a:schemeClr val="tx1"/>
              </a:solidFill>
              <a:effectLst/>
              <a:uFillTx/>
              <a:latin typeface="+mn-lt"/>
              <a:ea typeface="+mn-ea"/>
              <a:cs typeface="+mn-cs"/>
            </a:endParaRPr>
          </a:p>
        </c:rich>
      </c:tx>
      <c:layout/>
      <c:overlay val="0"/>
      <c:spPr>
        <a:noFill/>
        <a:ln>
          <a:noFill/>
        </a:ln>
        <a:effectLst/>
      </c:spPr>
    </c:title>
    <c:autoTitleDeleted val="0"/>
    <c:plotArea>
      <c:layout/>
      <c:pieChart>
        <c:varyColors val="1"/>
        <c:ser>
          <c:idx val="0"/>
          <c:order val="0"/>
          <c:tx>
            <c:strRef>
              <c:f>Sheet1!$B$1</c:f>
              <c:strCache>
                <c:ptCount val="1"/>
                <c:pt idx="0">
                  <c:v>移动新媒体</c:v>
                </c:pt>
              </c:strCache>
            </c:strRef>
          </c:tx>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微博</c:v>
                </c:pt>
                <c:pt idx="1">
                  <c:v>微信</c:v>
                </c:pt>
              </c:strCache>
            </c:strRef>
          </c:cat>
          <c:val>
            <c:numRef>
              <c:f>Sheet1!$B$2:$B$3</c:f>
              <c:numCache>
                <c:formatCode>General</c:formatCode>
                <c:ptCount val="2"/>
                <c:pt idx="0" c:formatCode="General">
                  <c:v>650</c:v>
                </c:pt>
                <c:pt idx="1" c:formatCode="General">
                  <c:v>1976</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政府信息主动公开情况</a:t>
            </a:r>
            <a:endParaRPr>
              <a:solidFill>
                <a:schemeClr val="tx1"/>
              </a:solidFill>
              <a:uFillTx/>
            </a:endParaRPr>
          </a:p>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a:t>
            </a:r>
            <a:r>
              <a:rPr lang="en-US" altLang="zh-CN">
                <a:solidFill>
                  <a:schemeClr val="tx1"/>
                </a:solidFill>
                <a:uFillTx/>
              </a:rPr>
              <a:t>1424</a:t>
            </a:r>
            <a:r>
              <a:rPr altLang="en-US">
                <a:solidFill>
                  <a:schemeClr val="tx1"/>
                </a:solidFill>
                <a:uFillTx/>
              </a:rPr>
              <a:t>条</a:t>
            </a:r>
            <a:r>
              <a:rPr>
                <a:solidFill>
                  <a:schemeClr val="tx1"/>
                </a:solidFill>
                <a:uFillTx/>
              </a:rPr>
              <a:t>）</a:t>
            </a:r>
            <a:endParaRPr>
              <a:solidFill>
                <a:schemeClr val="tx1"/>
              </a:solidFill>
              <a:uFillTx/>
            </a:endParaRPr>
          </a:p>
        </c:rich>
      </c:tx>
      <c:layout/>
      <c:overlay val="0"/>
      <c:spPr>
        <a:noFill/>
        <a:ln>
          <a:noFill/>
        </a:ln>
        <a:effectLst/>
      </c:spPr>
    </c:title>
    <c:autoTitleDeleted val="0"/>
    <c:plotArea>
      <c:layout/>
      <c:pieChart>
        <c:varyColors val="1"/>
        <c:ser>
          <c:idx val="0"/>
          <c:order val="0"/>
          <c:tx>
            <c:strRef>
              <c:f>Sheet1!$B$1</c:f>
              <c:strCache>
                <c:ptCount val="1"/>
                <c:pt idx="0">
                  <c:v>政府信息主动公开情况</c:v>
                </c:pt>
              </c:strCache>
            </c:strRef>
          </c:tx>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Sheet1!$A$2:$A$9</c:f>
              <c:strCache>
                <c:ptCount val="8"/>
                <c:pt idx="0">
                  <c:v>财政信息</c:v>
                </c:pt>
                <c:pt idx="1">
                  <c:v>人事信息</c:v>
                </c:pt>
                <c:pt idx="2">
                  <c:v>民生建设信息</c:v>
                </c:pt>
                <c:pt idx="3">
                  <c:v>市场监管信息</c:v>
                </c:pt>
                <c:pt idx="4">
                  <c:v>重大建设项目信息</c:v>
                </c:pt>
                <c:pt idx="5">
                  <c:v>计划规划信息</c:v>
                </c:pt>
                <c:pt idx="6">
                  <c:v>政府采购信息</c:v>
                </c:pt>
                <c:pt idx="7">
                  <c:v>其他类信息</c:v>
                </c:pt>
              </c:strCache>
            </c:strRef>
          </c:cat>
          <c:val>
            <c:numRef>
              <c:f>Sheet1!$B$2:$B$9</c:f>
              <c:numCache>
                <c:formatCode>General</c:formatCode>
                <c:ptCount val="8"/>
                <c:pt idx="0" c:formatCode="General">
                  <c:v>249</c:v>
                </c:pt>
                <c:pt idx="1" c:formatCode="General">
                  <c:v>73</c:v>
                </c:pt>
                <c:pt idx="2" c:formatCode="General">
                  <c:v>351</c:v>
                </c:pt>
                <c:pt idx="3" c:formatCode="General">
                  <c:v>127</c:v>
                </c:pt>
                <c:pt idx="4" c:formatCode="General">
                  <c:v>21</c:v>
                </c:pt>
                <c:pt idx="5" c:formatCode="General">
                  <c:v>46</c:v>
                </c:pt>
                <c:pt idx="6" c:formatCode="General">
                  <c:v>8</c:v>
                </c:pt>
                <c:pt idx="7" c:formatCode="General">
                  <c:v>549</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依申请公开情况</a:t>
            </a:r>
            <a:endParaRPr>
              <a:solidFill>
                <a:schemeClr val="tx1"/>
              </a:solidFill>
              <a:uFillTx/>
            </a:endParaRPr>
          </a:p>
          <a:p>
            <a:pPr algn="ctr" defTabSz="914400">
              <a:defRPr sz="1400" b="0" kern="1200" spc="0" baseline="0">
                <a:solidFill>
                  <a:schemeClr val="tx1">
                    <a:lumMod val="65000"/>
                    <a:lumOff val="35000"/>
                  </a:schemeClr>
                </a:solidFill>
                <a:latin typeface="+mn-lt"/>
                <a:ea typeface="+mn-ea"/>
                <a:cs typeface="+mn-cs"/>
              </a:defRPr>
            </a:pPr>
            <a:r>
              <a:rPr sz="1400" b="0" i="0" baseline="0">
                <a:solidFill>
                  <a:schemeClr val="tx1"/>
                </a:solidFill>
                <a:effectLst/>
                <a:uFillTx/>
                <a:latin typeface="+mn-lt"/>
                <a:ea typeface="+mn-ea"/>
                <a:cs typeface="+mn-cs"/>
              </a:rPr>
              <a:t>（</a:t>
            </a:r>
            <a:r>
              <a:rPr lang="en-US" altLang="zh-CN" sz="1400" b="0" i="0" baseline="0">
                <a:solidFill>
                  <a:schemeClr val="tx1"/>
                </a:solidFill>
                <a:effectLst/>
                <a:uFillTx/>
                <a:latin typeface="+mn-lt"/>
                <a:ea typeface="+mn-ea"/>
                <a:cs typeface="+mn-cs"/>
              </a:rPr>
              <a:t>16</a:t>
            </a:r>
            <a:r>
              <a:rPr altLang="en-US" sz="1400" b="0" i="0" baseline="0">
                <a:solidFill>
                  <a:schemeClr val="tx1"/>
                </a:solidFill>
                <a:effectLst/>
                <a:uFillTx/>
                <a:latin typeface="+mn-lt"/>
                <a:ea typeface="+mn-ea"/>
                <a:cs typeface="+mn-cs"/>
              </a:rPr>
              <a:t>件</a:t>
            </a:r>
            <a:r>
              <a:rPr sz="1400" b="0" i="0" baseline="0">
                <a:solidFill>
                  <a:schemeClr val="tx1"/>
                </a:solidFill>
                <a:effectLst/>
                <a:uFillTx/>
                <a:latin typeface="+mn-lt"/>
                <a:ea typeface="+mn-ea"/>
                <a:cs typeface="+mn-cs"/>
              </a:rPr>
              <a:t>）</a:t>
            </a:r>
            <a:endParaRPr sz="1400" b="0" i="0" baseline="0">
              <a:solidFill>
                <a:schemeClr val="tx1"/>
              </a:solidFill>
              <a:effectLst/>
              <a:uFillTx/>
              <a:latin typeface="+mn-lt"/>
              <a:ea typeface="+mn-ea"/>
              <a:cs typeface="+mn-cs"/>
            </a:endParaRPr>
          </a:p>
        </c:rich>
      </c:tx>
      <c:layout/>
      <c:overlay val="0"/>
      <c:spPr>
        <a:noFill/>
        <a:ln>
          <a:noFill/>
        </a:ln>
        <a:effectLst/>
      </c:spPr>
    </c:title>
    <c:autoTitleDeleted val="0"/>
    <c:plotArea>
      <c:layout/>
      <c:pieChart>
        <c:varyColors val="1"/>
        <c:ser>
          <c:idx val="0"/>
          <c:order val="0"/>
          <c:tx>
            <c:strRef>
              <c:f>Sheet1!$B$1</c:f>
              <c:strCache>
                <c:ptCount val="1"/>
                <c:pt idx="0">
                  <c:v>依申请公开情况</c:v>
                </c:pt>
              </c:strCache>
            </c:strRef>
          </c:tx>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网络申请</c:v>
                </c:pt>
                <c:pt idx="1">
                  <c:v>信函申请</c:v>
                </c:pt>
              </c:strCache>
            </c:strRef>
          </c:cat>
          <c:val>
            <c:numRef>
              <c:f>Sheet1!$B$2:$B$3</c:f>
              <c:numCache>
                <c:formatCode>General</c:formatCode>
                <c:ptCount val="2"/>
                <c:pt idx="0" c:formatCode="General">
                  <c:v>15</c:v>
                </c:pt>
                <c:pt idx="1" c:formatCode="General">
                  <c:v>1</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依申请公开答复情况</a:t>
            </a:r>
            <a:endParaRPr>
              <a:solidFill>
                <a:schemeClr val="tx1"/>
              </a:solidFill>
              <a:uFillTx/>
            </a:endParaRPr>
          </a:p>
          <a:p>
            <a:pPr algn="ctr" defTabSz="914400">
              <a:defRPr sz="1400" b="0" kern="1200" spc="0" baseline="0">
                <a:solidFill>
                  <a:schemeClr val="tx1">
                    <a:lumMod val="65000"/>
                    <a:lumOff val="35000"/>
                  </a:schemeClr>
                </a:solidFill>
                <a:latin typeface="+mn-lt"/>
                <a:ea typeface="+mn-ea"/>
                <a:cs typeface="+mn-cs"/>
              </a:defRPr>
            </a:pPr>
            <a:r>
              <a:rPr>
                <a:solidFill>
                  <a:schemeClr val="tx1"/>
                </a:solidFill>
                <a:uFillTx/>
              </a:rPr>
              <a:t>（</a:t>
            </a:r>
            <a:r>
              <a:rPr lang="en-US" altLang="zh-CN">
                <a:solidFill>
                  <a:schemeClr val="tx1"/>
                </a:solidFill>
                <a:uFillTx/>
              </a:rPr>
              <a:t>16</a:t>
            </a:r>
            <a:r>
              <a:rPr altLang="en-US">
                <a:solidFill>
                  <a:schemeClr val="tx1"/>
                </a:solidFill>
                <a:uFillTx/>
              </a:rPr>
              <a:t>件</a:t>
            </a:r>
            <a:r>
              <a:rPr>
                <a:solidFill>
                  <a:schemeClr val="tx1"/>
                </a:solidFill>
                <a:uFillTx/>
              </a:rPr>
              <a:t>）</a:t>
            </a:r>
            <a:endParaRPr>
              <a:solidFill>
                <a:schemeClr val="tx1"/>
              </a:solidFill>
              <a:uFillTx/>
            </a:endParaRPr>
          </a:p>
        </c:rich>
      </c:tx>
      <c:layout/>
      <c:overlay val="0"/>
      <c:spPr>
        <a:noFill/>
        <a:ln>
          <a:noFill/>
        </a:ln>
        <a:effectLst/>
      </c:spPr>
    </c:title>
    <c:autoTitleDeleted val="0"/>
    <c:plotArea>
      <c:layout/>
      <c:pieChart>
        <c:varyColors val="1"/>
        <c:ser>
          <c:idx val="0"/>
          <c:order val="0"/>
          <c:tx>
            <c:strRef>
              <c:f>Sheet1!$B$1</c:f>
              <c:strCache>
                <c:ptCount val="1"/>
                <c:pt idx="0">
                  <c:v>依申请公开情况</c:v>
                </c:pt>
              </c:strCache>
            </c:strRef>
          </c:tx>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Sheet1!$A$2:$A$7</c:f>
              <c:strCache>
                <c:ptCount val="6"/>
                <c:pt idx="0">
                  <c:v>属于已主动公开范围数</c:v>
                </c:pt>
                <c:pt idx="1">
                  <c:v>同意公开答复数</c:v>
                </c:pt>
                <c:pt idx="2">
                  <c:v>不同意公开答复数</c:v>
                </c:pt>
                <c:pt idx="3">
                  <c:v>不属于本行政机关公开数</c:v>
                </c:pt>
                <c:pt idx="4">
                  <c:v>申请信息不存在数</c:v>
                </c:pt>
                <c:pt idx="5">
                  <c:v>告知通过其他途径办理数</c:v>
                </c:pt>
              </c:strCache>
            </c:strRef>
          </c:cat>
          <c:val>
            <c:numRef>
              <c:f>Sheet1!$B$2:$B$7</c:f>
              <c:numCache>
                <c:formatCode>General</c:formatCode>
                <c:ptCount val="6"/>
                <c:pt idx="0" c:formatCode="General">
                  <c:v>1</c:v>
                </c:pt>
                <c:pt idx="1" c:formatCode="General">
                  <c:v>5</c:v>
                </c:pt>
                <c:pt idx="2" c:formatCode="General">
                  <c:v>3</c:v>
                </c:pt>
                <c:pt idx="3" c:formatCode="General">
                  <c:v>4</c:v>
                </c:pt>
                <c:pt idx="4" c:formatCode="General">
                  <c:v>2</c:v>
                </c:pt>
                <c:pt idx="5" c:formatCode="General">
                  <c:v>1</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383</Words>
  <Characters>2185</Characters>
  <Lines>18</Lines>
  <Paragraphs>5</Paragraphs>
  <ScaleCrop>false</ScaleCrop>
  <LinksUpToDate>false</LinksUpToDate>
  <CharactersWithSpaces>2563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2015-04-02T08:34:00Z</dcterms:created>
  <dc:creator>Microsoft</dc:creator>
  <cp:lastModifiedBy>Lu</cp:lastModifiedBy>
  <cp:lastPrinted>2018-03-07T09:12:00Z</cp:lastPrinted>
  <dcterms:modified xsi:type="dcterms:W3CDTF">2019-03-28T08:47:09Z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