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1" w:after="0" w:afterAutospacing="1"/>
        <w:ind w:left="0" w:right="0"/>
        <w:outlineLvl w:val="0"/>
        <w:rPr>
          <w:rFonts w:hint="eastAsia" w:ascii="黑体" w:hAnsi="宋体" w:eastAsia="黑体" w:cs="黑体"/>
          <w:sz w:val="32"/>
          <w:szCs w:val="32"/>
          <w:lang w:val="en-US"/>
        </w:rPr>
      </w:pPr>
      <w:bookmarkStart w:id="142" w:name="_GoBack"/>
      <w:bookmarkEnd w:id="142"/>
      <w:bookmarkStart w:id="0" w:name="_Toc25171"/>
      <w:r>
        <w:rPr>
          <w:rFonts w:ascii="黑体" w:hAnsi="宋体" w:eastAsia="黑体" w:cs="黑体"/>
          <w:sz w:val="32"/>
          <w:szCs w:val="32"/>
        </w:rPr>
        <w:t>附件</w:t>
      </w:r>
      <w:r>
        <w:rPr>
          <w:rFonts w:hint="eastAsia" w:ascii="黑体" w:hAnsi="宋体" w:eastAsia="黑体" w:cs="黑体"/>
          <w:sz w:val="32"/>
          <w:szCs w:val="32"/>
          <w:lang w:val="en-US"/>
        </w:rPr>
        <w:t>1</w:t>
      </w:r>
      <w:bookmarkEnd w:id="0"/>
    </w:p>
    <w:p>
      <w:pPr>
        <w:keepNext w:val="0"/>
        <w:keepLines w:val="0"/>
        <w:widowControl/>
        <w:suppressLineNumbers w:val="0"/>
        <w:spacing w:before="0" w:beforeAutospacing="1" w:after="0" w:afterAutospacing="1"/>
        <w:ind w:left="0" w:right="0"/>
        <w:rPr>
          <w:rFonts w:hint="eastAsia" w:ascii="宋体" w:hAnsi="宋体" w:eastAsia="宋体" w:cs="宋体"/>
          <w:sz w:val="30"/>
          <w:szCs w:val="30"/>
          <w:lang w:val="en-US"/>
        </w:rPr>
      </w:pPr>
    </w:p>
    <w:p>
      <w:pPr>
        <w:keepNext w:val="0"/>
        <w:keepLines w:val="0"/>
        <w:widowControl/>
        <w:suppressLineNumbers w:val="0"/>
        <w:spacing w:before="0" w:beforeAutospacing="1" w:after="0" w:afterAutospacing="1"/>
        <w:ind w:left="0" w:right="0"/>
        <w:jc w:val="center"/>
        <w:rPr>
          <w:rFonts w:hint="eastAsia" w:ascii="黑体" w:hAnsi="ˎ̥" w:eastAsia="黑体" w:cs="黑体"/>
          <w:b/>
          <w:bCs w:val="0"/>
          <w:sz w:val="32"/>
          <w:szCs w:val="32"/>
          <w:lang w:val="en-US"/>
        </w:rPr>
      </w:pPr>
      <w:r>
        <w:rPr>
          <w:rFonts w:hint="eastAsia" w:ascii="黑体" w:hAnsi="ˎ̥" w:eastAsia="黑体" w:cs="黑体"/>
          <w:sz w:val="44"/>
          <w:szCs w:val="44"/>
        </w:rPr>
        <w:t>海南省</w:t>
      </w:r>
      <w:r>
        <w:rPr>
          <w:rFonts w:hint="eastAsia" w:ascii="黑体" w:hAnsi="ˎ̥" w:eastAsia="黑体" w:cs="黑体"/>
          <w:sz w:val="44"/>
          <w:szCs w:val="44"/>
          <w:lang w:val="en-US"/>
        </w:rPr>
        <w:t>万宁市北大镇禄马卫生院2021</w:t>
      </w:r>
      <w:r>
        <w:rPr>
          <w:rFonts w:hint="eastAsia" w:ascii="黑体" w:hAnsi="ˎ̥" w:eastAsia="黑体" w:cs="黑体"/>
          <w:sz w:val="44"/>
          <w:szCs w:val="44"/>
        </w:rPr>
        <w:t>年度部门决算</w:t>
      </w:r>
    </w:p>
    <w:sdt>
      <w:sdtPr>
        <w:rPr>
          <w:rFonts w:ascii="宋体" w:hAnsi="宋体" w:eastAsia="宋体" w:cstheme="minorEastAsia"/>
          <w:kern w:val="0"/>
          <w:sz w:val="21"/>
          <w:szCs w:val="24"/>
          <w:lang w:val="en-US" w:eastAsia="zh-CN" w:bidi="ar"/>
        </w:rPr>
        <w:id w:val="147478725"/>
        <w15:color w:val="DBDBDB"/>
        <w:docPartObj>
          <w:docPartGallery w:val="Table of Contents"/>
          <w:docPartUnique/>
        </w:docPartObj>
      </w:sdtPr>
      <w:sdtEndPr>
        <w:rPr>
          <w:rFonts w:hint="eastAsia" w:ascii="黑体" w:hAnsi="宋体" w:eastAsia="黑体" w:cs="黑体"/>
          <w:b/>
          <w:kern w:val="0"/>
          <w:sz w:val="24"/>
          <w:szCs w:val="32"/>
          <w:lang w:val="en-US" w:eastAsia="zh-CN" w:bidi="ar"/>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2"/>
            <w:tabs>
              <w:tab w:val="right" w:leader="dot" w:pos="8315"/>
            </w:tabs>
            <w:rPr>
              <w:b/>
            </w:rPr>
          </w:pPr>
          <w:r>
            <w:rPr>
              <w:rFonts w:hint="eastAsia" w:ascii="黑体" w:hAnsi="宋体" w:eastAsia="黑体" w:cs="黑体"/>
              <w:sz w:val="32"/>
              <w:szCs w:val="32"/>
              <w:lang w:val="en-US"/>
            </w:rPr>
            <w:fldChar w:fldCharType="begin"/>
          </w:r>
          <w:r>
            <w:rPr>
              <w:rFonts w:hint="eastAsia" w:ascii="黑体" w:hAnsi="宋体" w:eastAsia="黑体" w:cs="黑体"/>
              <w:sz w:val="32"/>
              <w:szCs w:val="32"/>
              <w:lang w:val="en-US"/>
            </w:rPr>
            <w:instrText xml:space="preserve">TOC \o "1-2" \h \u </w:instrText>
          </w:r>
          <w:r>
            <w:rPr>
              <w:rFonts w:hint="eastAsia" w:ascii="黑体" w:hAnsi="宋体" w:eastAsia="黑体" w:cs="黑体"/>
              <w:sz w:val="32"/>
              <w:szCs w:val="32"/>
              <w:lang w:val="en-US"/>
            </w:rPr>
            <w:fldChar w:fldCharType="separate"/>
          </w:r>
          <w:r>
            <w:rPr>
              <w:rFonts w:hint="eastAsia" w:ascii="黑体" w:hAnsi="宋体" w:eastAsia="黑体" w:cs="黑体"/>
              <w:b/>
              <w:szCs w:val="32"/>
              <w:lang w:val="en-US"/>
            </w:rPr>
            <w:fldChar w:fldCharType="begin"/>
          </w:r>
          <w:r>
            <w:rPr>
              <w:rFonts w:hint="eastAsia" w:ascii="黑体" w:hAnsi="宋体" w:eastAsia="黑体" w:cs="黑体"/>
              <w:b/>
              <w:szCs w:val="32"/>
              <w:lang w:val="en-US"/>
            </w:rPr>
            <w:instrText xml:space="preserve"> HYPERLINK \l _Toc25171 </w:instrText>
          </w:r>
          <w:r>
            <w:rPr>
              <w:rFonts w:hint="eastAsia" w:ascii="黑体" w:hAnsi="宋体" w:eastAsia="黑体" w:cs="黑体"/>
              <w:b/>
              <w:szCs w:val="32"/>
              <w:lang w:val="en-US"/>
            </w:rPr>
            <w:fldChar w:fldCharType="separate"/>
          </w:r>
          <w:r>
            <w:rPr>
              <w:rFonts w:ascii="黑体" w:hAnsi="宋体" w:eastAsia="黑体" w:cs="黑体"/>
              <w:b/>
              <w:szCs w:val="32"/>
            </w:rPr>
            <w:t>附件</w:t>
          </w:r>
          <w:r>
            <w:rPr>
              <w:rFonts w:hint="eastAsia" w:ascii="黑体" w:hAnsi="宋体" w:eastAsia="黑体" w:cs="黑体"/>
              <w:b/>
              <w:szCs w:val="32"/>
              <w:lang w:val="en-US"/>
            </w:rPr>
            <w:t>1</w:t>
          </w:r>
          <w:r>
            <w:rPr>
              <w:b/>
            </w:rPr>
            <w:tab/>
          </w:r>
          <w:r>
            <w:rPr>
              <w:b/>
            </w:rPr>
            <w:fldChar w:fldCharType="begin"/>
          </w:r>
          <w:r>
            <w:rPr>
              <w:b/>
            </w:rPr>
            <w:instrText xml:space="preserve"> PAGEREF _Toc25171 \h </w:instrText>
          </w:r>
          <w:r>
            <w:rPr>
              <w:b/>
            </w:rPr>
            <w:fldChar w:fldCharType="separate"/>
          </w:r>
          <w:r>
            <w:rPr>
              <w:b/>
            </w:rPr>
            <w:t>1</w:t>
          </w:r>
          <w:r>
            <w:rPr>
              <w:b/>
            </w:rPr>
            <w:fldChar w:fldCharType="end"/>
          </w:r>
          <w:r>
            <w:rPr>
              <w:rFonts w:hint="eastAsia" w:ascii="黑体" w:hAnsi="宋体" w:eastAsia="黑体" w:cs="黑体"/>
              <w:b/>
              <w:szCs w:val="32"/>
              <w:lang w:val="en-US"/>
            </w:rPr>
            <w:fldChar w:fldCharType="end"/>
          </w:r>
        </w:p>
        <w:p>
          <w:pPr>
            <w:pStyle w:val="12"/>
            <w:tabs>
              <w:tab w:val="right" w:leader="dot" w:pos="8315"/>
            </w:tabs>
            <w:rPr>
              <w:b/>
            </w:rPr>
          </w:pPr>
          <w:r>
            <w:rPr>
              <w:rFonts w:hint="eastAsia" w:ascii="黑体" w:hAnsi="宋体" w:eastAsia="黑体" w:cs="黑体"/>
              <w:b/>
              <w:szCs w:val="32"/>
              <w:lang w:val="en-US"/>
            </w:rPr>
            <w:fldChar w:fldCharType="begin"/>
          </w:r>
          <w:r>
            <w:rPr>
              <w:rFonts w:hint="eastAsia" w:ascii="黑体" w:hAnsi="宋体" w:eastAsia="黑体" w:cs="黑体"/>
              <w:b/>
              <w:szCs w:val="32"/>
              <w:lang w:val="en-US"/>
            </w:rPr>
            <w:instrText xml:space="preserve"> HYPERLINK \l _Toc30397 </w:instrText>
          </w:r>
          <w:r>
            <w:rPr>
              <w:rFonts w:hint="eastAsia" w:ascii="黑体" w:hAnsi="宋体" w:eastAsia="黑体" w:cs="黑体"/>
              <w:b/>
              <w:szCs w:val="32"/>
              <w:lang w:val="en-US"/>
            </w:rPr>
            <w:fldChar w:fldCharType="separate"/>
          </w:r>
          <w:r>
            <w:rPr>
              <w:rFonts w:hint="eastAsia" w:ascii="黑体" w:hAnsi="ˎ̥" w:eastAsia="黑体" w:cs="黑体"/>
              <w:b/>
              <w:szCs w:val="32"/>
            </w:rPr>
            <w:t>第一部分</w:t>
          </w:r>
          <w:r>
            <w:rPr>
              <w:rFonts w:hint="eastAsia" w:ascii="黑体" w:hAnsi="ˎ̥" w:eastAsia="黑体" w:cs="黑体"/>
              <w:b/>
              <w:szCs w:val="32"/>
              <w:lang w:val="en-US"/>
            </w:rPr>
            <w:t xml:space="preserve">  </w:t>
          </w:r>
          <w:r>
            <w:rPr>
              <w:rFonts w:hint="eastAsia" w:ascii="黑体" w:hAnsi="ˎ̥" w:eastAsia="黑体" w:cs="黑体"/>
              <w:b/>
              <w:szCs w:val="32"/>
            </w:rPr>
            <w:t>单位概况</w:t>
          </w:r>
          <w:r>
            <w:rPr>
              <w:b/>
            </w:rPr>
            <w:tab/>
          </w:r>
          <w:r>
            <w:rPr>
              <w:b/>
            </w:rPr>
            <w:fldChar w:fldCharType="begin"/>
          </w:r>
          <w:r>
            <w:rPr>
              <w:b/>
            </w:rPr>
            <w:instrText xml:space="preserve"> PAGEREF _Toc30397 \h </w:instrText>
          </w:r>
          <w:r>
            <w:rPr>
              <w:b/>
            </w:rPr>
            <w:fldChar w:fldCharType="separate"/>
          </w:r>
          <w:r>
            <w:rPr>
              <w:b/>
            </w:rPr>
            <w:t>2</w:t>
          </w:r>
          <w:r>
            <w:rPr>
              <w:b/>
            </w:rPr>
            <w:fldChar w:fldCharType="end"/>
          </w:r>
          <w:r>
            <w:rPr>
              <w:rFonts w:hint="eastAsia" w:ascii="黑体" w:hAnsi="宋体" w:eastAsia="黑体" w:cs="黑体"/>
              <w:b/>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_Toc18659 </w:instrText>
          </w:r>
          <w:r>
            <w:rPr>
              <w:rFonts w:hint="eastAsia" w:ascii="黑体" w:hAnsi="宋体" w:eastAsia="黑体" w:cs="黑体"/>
              <w:szCs w:val="32"/>
              <w:lang w:val="en-US"/>
            </w:rPr>
            <w:fldChar w:fldCharType="separate"/>
          </w:r>
          <w:r>
            <w:rPr>
              <w:rFonts w:hint="eastAsia" w:ascii="黑体" w:hAnsi="宋体" w:eastAsia="黑体" w:cs="黑体"/>
              <w:szCs w:val="32"/>
            </w:rPr>
            <w:t>一、单位职责</w:t>
          </w:r>
          <w:r>
            <w:tab/>
          </w:r>
          <w:r>
            <w:fldChar w:fldCharType="begin"/>
          </w:r>
          <w:r>
            <w:instrText xml:space="preserve"> PAGEREF _Toc18659 \h </w:instrText>
          </w:r>
          <w:r>
            <w:fldChar w:fldCharType="separate"/>
          </w:r>
          <w:r>
            <w:t>2</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_Toc12721 </w:instrText>
          </w:r>
          <w:r>
            <w:rPr>
              <w:rFonts w:hint="eastAsia" w:ascii="黑体" w:hAnsi="宋体" w:eastAsia="黑体" w:cs="黑体"/>
              <w:szCs w:val="32"/>
              <w:lang w:val="en-US"/>
            </w:rPr>
            <w:fldChar w:fldCharType="separate"/>
          </w:r>
          <w:r>
            <w:rPr>
              <w:rFonts w:hint="eastAsia" w:ascii="黑体" w:hAnsi="宋体" w:eastAsia="黑体" w:cs="黑体"/>
              <w:szCs w:val="32"/>
            </w:rPr>
            <w:t>二、机构设置</w:t>
          </w:r>
          <w:r>
            <w:tab/>
          </w:r>
          <w:r>
            <w:fldChar w:fldCharType="begin"/>
          </w:r>
          <w:r>
            <w:instrText xml:space="preserve"> PAGEREF _Toc12721 \h </w:instrText>
          </w:r>
          <w:r>
            <w:fldChar w:fldCharType="separate"/>
          </w:r>
          <w:r>
            <w:t>2</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_Toc28977 </w:instrText>
          </w:r>
          <w:r>
            <w:rPr>
              <w:rFonts w:hint="eastAsia" w:ascii="黑体" w:hAnsi="宋体" w:eastAsia="黑体" w:cs="黑体"/>
              <w:szCs w:val="32"/>
              <w:lang w:val="en-US"/>
            </w:rPr>
            <w:fldChar w:fldCharType="separate"/>
          </w:r>
          <w:r>
            <w:rPr>
              <w:rFonts w:hint="eastAsia" w:ascii="黑体" w:hAnsi="宋体" w:eastAsia="黑体" w:cs="黑体"/>
              <w:szCs w:val="32"/>
            </w:rPr>
            <w:t>六、一般公共预算财政拨款基本支出决算公开表</w:t>
          </w:r>
          <w:r>
            <w:tab/>
          </w:r>
          <w:r>
            <w:fldChar w:fldCharType="begin"/>
          </w:r>
          <w:r>
            <w:instrText xml:space="preserve"> PAGEREF _Toc28977 \h </w:instrText>
          </w:r>
          <w:r>
            <w:fldChar w:fldCharType="separate"/>
          </w:r>
          <w:r>
            <w:t>3</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_Toc15846 </w:instrText>
          </w:r>
          <w:r>
            <w:rPr>
              <w:rFonts w:hint="eastAsia" w:ascii="黑体" w:hAnsi="宋体" w:eastAsia="黑体" w:cs="黑体"/>
              <w:szCs w:val="32"/>
              <w:lang w:val="en-US"/>
            </w:rPr>
            <w:fldChar w:fldCharType="separate"/>
          </w:r>
          <w:r>
            <w:rPr>
              <w:rFonts w:hint="eastAsia" w:ascii="黑体" w:hAnsi="宋体" w:eastAsia="黑体" w:cs="黑体"/>
              <w:szCs w:val="32"/>
            </w:rPr>
            <w:t>七、政府性基金预算财政拨款收入支出决算公开表</w:t>
          </w:r>
          <w:r>
            <w:tab/>
          </w:r>
          <w:r>
            <w:fldChar w:fldCharType="begin"/>
          </w:r>
          <w:r>
            <w:instrText xml:space="preserve"> PAGEREF _Toc15846 \h </w:instrText>
          </w:r>
          <w:r>
            <w:fldChar w:fldCharType="separate"/>
          </w:r>
          <w:r>
            <w:t>3</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_Toc2906 </w:instrText>
          </w:r>
          <w:r>
            <w:rPr>
              <w:rFonts w:hint="eastAsia" w:ascii="黑体" w:hAnsi="宋体" w:eastAsia="黑体" w:cs="黑体"/>
              <w:szCs w:val="32"/>
              <w:lang w:val="en-US"/>
            </w:rPr>
            <w:fldChar w:fldCharType="separate"/>
          </w:r>
          <w:r>
            <w:rPr>
              <w:rFonts w:hint="eastAsia" w:ascii="黑体" w:hAnsi="宋体" w:eastAsia="黑体" w:cs="黑体"/>
              <w:szCs w:val="32"/>
            </w:rPr>
            <w:t>八、国有资本经营预算财政拨款收入支出决算公开表</w:t>
          </w:r>
          <w:r>
            <w:tab/>
          </w:r>
          <w:r>
            <w:fldChar w:fldCharType="begin"/>
          </w:r>
          <w:r>
            <w:instrText xml:space="preserve"> PAGEREF _Toc2906 \h </w:instrText>
          </w:r>
          <w:r>
            <w:fldChar w:fldCharType="separate"/>
          </w:r>
          <w:r>
            <w:t>3</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_Toc18606 </w:instrText>
          </w:r>
          <w:r>
            <w:rPr>
              <w:rFonts w:hint="eastAsia" w:ascii="黑体" w:hAnsi="宋体" w:eastAsia="黑体" w:cs="黑体"/>
              <w:szCs w:val="32"/>
              <w:lang w:val="en-US"/>
            </w:rPr>
            <w:fldChar w:fldCharType="separate"/>
          </w:r>
          <w:r>
            <w:rPr>
              <w:rFonts w:hint="eastAsia" w:ascii="黑体" w:hAnsi="宋体" w:eastAsia="黑体" w:cs="黑体"/>
              <w:szCs w:val="32"/>
            </w:rPr>
            <w:t>九、一般公共预算财政拨款“三公”经费支出决算</w:t>
          </w:r>
          <w:r>
            <w:tab/>
          </w:r>
          <w:r>
            <w:fldChar w:fldCharType="begin"/>
          </w:r>
          <w:r>
            <w:instrText xml:space="preserve"> PAGEREF _Toc18606 \h </w:instrText>
          </w:r>
          <w:r>
            <w:fldChar w:fldCharType="separate"/>
          </w:r>
          <w:r>
            <w:t>3</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_Toc7763 </w:instrText>
          </w:r>
          <w:r>
            <w:rPr>
              <w:rFonts w:hint="eastAsia" w:ascii="黑体" w:hAnsi="宋体" w:eastAsia="黑体" w:cs="黑体"/>
              <w:szCs w:val="32"/>
              <w:lang w:val="en-US"/>
            </w:rPr>
            <w:fldChar w:fldCharType="separate"/>
          </w:r>
          <w:r>
            <w:rPr>
              <w:rFonts w:hint="eastAsia" w:ascii="黑体" w:hAnsi="宋体" w:eastAsia="黑体" w:cs="黑体"/>
              <w:szCs w:val="32"/>
            </w:rPr>
            <w:t>十、政府性基金预算财政拨款“三公”经费支出决算</w:t>
          </w:r>
          <w:r>
            <w:tab/>
          </w:r>
          <w:r>
            <w:fldChar w:fldCharType="begin"/>
          </w:r>
          <w:r>
            <w:instrText xml:space="preserve"> PAGEREF _Toc7763 \h </w:instrText>
          </w:r>
          <w:r>
            <w:fldChar w:fldCharType="separate"/>
          </w:r>
          <w:r>
            <w:t>4</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_Toc14454 </w:instrText>
          </w:r>
          <w:r>
            <w:rPr>
              <w:rFonts w:hint="eastAsia" w:ascii="黑体" w:hAnsi="宋体" w:eastAsia="黑体" w:cs="黑体"/>
              <w:szCs w:val="32"/>
              <w:lang w:val="en-US"/>
            </w:rPr>
            <w:fldChar w:fldCharType="separate"/>
          </w:r>
          <w:r>
            <w:rPr>
              <w:rFonts w:hint="eastAsia" w:ascii="黑体" w:hAnsi="宋体" w:eastAsia="黑体" w:cs="黑体"/>
              <w:szCs w:val="32"/>
            </w:rPr>
            <w:t>十一、国有资本经营预算财政拨款“三公”经费支出决算</w:t>
          </w:r>
          <w:r>
            <w:tab/>
          </w:r>
          <w:r>
            <w:fldChar w:fldCharType="begin"/>
          </w:r>
          <w:r>
            <w:instrText xml:space="preserve"> PAGEREF _Toc14454 \h </w:instrText>
          </w:r>
          <w:r>
            <w:fldChar w:fldCharType="separate"/>
          </w:r>
          <w:r>
            <w:t>4</w:t>
          </w:r>
          <w:r>
            <w:fldChar w:fldCharType="end"/>
          </w:r>
          <w:r>
            <w:rPr>
              <w:rFonts w:hint="eastAsia" w:ascii="黑体" w:hAnsi="宋体" w:eastAsia="黑体" w:cs="黑体"/>
              <w:szCs w:val="32"/>
              <w:lang w:val="en-US"/>
            </w:rPr>
            <w:fldChar w:fldCharType="end"/>
          </w:r>
        </w:p>
        <w:p>
          <w:pPr>
            <w:pStyle w:val="12"/>
            <w:tabs>
              <w:tab w:val="right" w:leader="dot" w:pos="8315"/>
            </w:tabs>
            <w:rPr>
              <w:b/>
            </w:rPr>
          </w:pPr>
          <w:r>
            <w:rPr>
              <w:rFonts w:hint="eastAsia" w:ascii="黑体" w:hAnsi="宋体" w:eastAsia="黑体" w:cs="黑体"/>
              <w:b/>
              <w:szCs w:val="32"/>
              <w:lang w:val="en-US"/>
            </w:rPr>
            <w:fldChar w:fldCharType="begin"/>
          </w:r>
          <w:r>
            <w:rPr>
              <w:rFonts w:hint="eastAsia" w:ascii="黑体" w:hAnsi="宋体" w:eastAsia="黑体" w:cs="黑体"/>
              <w:b/>
              <w:szCs w:val="32"/>
              <w:lang w:val="en-US"/>
            </w:rPr>
            <w:instrText xml:space="preserve"> HYPERLINK \l _Toc3342 </w:instrText>
          </w:r>
          <w:r>
            <w:rPr>
              <w:rFonts w:hint="eastAsia" w:ascii="黑体" w:hAnsi="宋体" w:eastAsia="黑体" w:cs="黑体"/>
              <w:b/>
              <w:szCs w:val="32"/>
              <w:lang w:val="en-US"/>
            </w:rPr>
            <w:fldChar w:fldCharType="separate"/>
          </w:r>
          <w:r>
            <w:rPr>
              <w:rFonts w:hint="eastAsia" w:ascii="黑体" w:hAnsi="ˎ̥" w:eastAsia="黑体" w:cs="黑体"/>
              <w:b/>
              <w:szCs w:val="32"/>
            </w:rPr>
            <w:t>第三部分</w:t>
          </w:r>
          <w:r>
            <w:rPr>
              <w:rFonts w:hint="eastAsia" w:ascii="黑体" w:hAnsi="ˎ̥" w:eastAsia="黑体" w:cs="黑体"/>
              <w:b/>
              <w:szCs w:val="32"/>
              <w:lang w:val="en-US"/>
            </w:rPr>
            <w:t>万宁市北大镇禄马卫生院2021</w:t>
          </w:r>
          <w:r>
            <w:rPr>
              <w:rFonts w:hint="eastAsia" w:ascii="黑体" w:hAnsi="ˎ̥" w:eastAsia="黑体" w:cs="黑体"/>
              <w:b/>
              <w:szCs w:val="32"/>
            </w:rPr>
            <w:t>年度部门决算情况说明</w:t>
          </w:r>
          <w:r>
            <w:rPr>
              <w:b/>
            </w:rPr>
            <w:tab/>
          </w:r>
          <w:r>
            <w:rPr>
              <w:b/>
            </w:rPr>
            <w:fldChar w:fldCharType="begin"/>
          </w:r>
          <w:r>
            <w:rPr>
              <w:b/>
            </w:rPr>
            <w:instrText xml:space="preserve"> PAGEREF _Toc3342 \h </w:instrText>
          </w:r>
          <w:r>
            <w:rPr>
              <w:b/>
            </w:rPr>
            <w:fldChar w:fldCharType="separate"/>
          </w:r>
          <w:r>
            <w:rPr>
              <w:b/>
            </w:rPr>
            <w:t>4</w:t>
          </w:r>
          <w:r>
            <w:rPr>
              <w:b/>
            </w:rPr>
            <w:fldChar w:fldCharType="end"/>
          </w:r>
          <w:r>
            <w:rPr>
              <w:rFonts w:hint="eastAsia" w:ascii="黑体" w:hAnsi="宋体" w:eastAsia="黑体" w:cs="黑体"/>
              <w:b/>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_Toc2479 </w:instrText>
          </w:r>
          <w:r>
            <w:rPr>
              <w:rFonts w:hint="eastAsia" w:ascii="黑体" w:hAnsi="宋体" w:eastAsia="黑体" w:cs="黑体"/>
              <w:szCs w:val="32"/>
              <w:lang w:val="en-US"/>
            </w:rPr>
            <w:fldChar w:fldCharType="separate"/>
          </w:r>
          <w:r>
            <w:rPr>
              <w:rFonts w:hint="eastAsia" w:ascii="黑体" w:hAnsi="宋体" w:eastAsia="黑体" w:cs="黑体"/>
              <w:bCs/>
              <w:szCs w:val="32"/>
            </w:rPr>
            <w:t>三、支出决算情况说明</w:t>
          </w:r>
          <w:r>
            <w:tab/>
          </w:r>
          <w:r>
            <w:fldChar w:fldCharType="begin"/>
          </w:r>
          <w:r>
            <w:instrText xml:space="preserve"> PAGEREF _Toc2479 \h </w:instrText>
          </w:r>
          <w:r>
            <w:fldChar w:fldCharType="separate"/>
          </w:r>
          <w:r>
            <w:t>5</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_Toc14912 </w:instrText>
          </w:r>
          <w:r>
            <w:rPr>
              <w:rFonts w:hint="eastAsia" w:ascii="黑体" w:hAnsi="宋体" w:eastAsia="黑体" w:cs="黑体"/>
              <w:szCs w:val="32"/>
              <w:lang w:val="en-US"/>
            </w:rPr>
            <w:fldChar w:fldCharType="separate"/>
          </w:r>
          <w:r>
            <w:rPr>
              <w:rFonts w:hint="eastAsia" w:ascii="黑体" w:hAnsi="宋体" w:eastAsia="黑体" w:cs="黑体"/>
              <w:bCs/>
              <w:szCs w:val="32"/>
            </w:rPr>
            <w:t>四、财政拨款收入支出决算总体情况说明</w:t>
          </w:r>
          <w:r>
            <w:tab/>
          </w:r>
          <w:r>
            <w:fldChar w:fldCharType="begin"/>
          </w:r>
          <w:r>
            <w:instrText xml:space="preserve"> PAGEREF _Toc14912 \h </w:instrText>
          </w:r>
          <w:r>
            <w:fldChar w:fldCharType="separate"/>
          </w:r>
          <w:r>
            <w:t>6</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_Toc13348 </w:instrText>
          </w:r>
          <w:r>
            <w:rPr>
              <w:rFonts w:hint="eastAsia" w:ascii="黑体" w:hAnsi="宋体" w:eastAsia="黑体" w:cs="黑体"/>
              <w:szCs w:val="32"/>
              <w:lang w:val="en-US"/>
            </w:rPr>
            <w:fldChar w:fldCharType="separate"/>
          </w:r>
          <w:r>
            <w:rPr>
              <w:rFonts w:hint="eastAsia" w:ascii="黑体" w:hAnsi="宋体" w:eastAsia="黑体" w:cs="黑体"/>
              <w:bCs/>
              <w:szCs w:val="32"/>
            </w:rPr>
            <w:t>五、一般公共预算财政拨款支出决算情况说明</w:t>
          </w:r>
          <w:r>
            <w:tab/>
          </w:r>
          <w:r>
            <w:fldChar w:fldCharType="begin"/>
          </w:r>
          <w:r>
            <w:instrText xml:space="preserve"> PAGEREF _Toc13348 \h </w:instrText>
          </w:r>
          <w:r>
            <w:fldChar w:fldCharType="separate"/>
          </w:r>
          <w:r>
            <w:t>7</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_Toc26339 </w:instrText>
          </w:r>
          <w:r>
            <w:rPr>
              <w:rFonts w:hint="eastAsia" w:ascii="黑体" w:hAnsi="宋体" w:eastAsia="黑体" w:cs="黑体"/>
              <w:szCs w:val="32"/>
              <w:lang w:val="en-US"/>
            </w:rPr>
            <w:fldChar w:fldCharType="separate"/>
          </w:r>
          <w:r>
            <w:rPr>
              <w:rFonts w:hint="eastAsia" w:ascii="黑体" w:hAnsi="宋体" w:eastAsia="黑体" w:cs="黑体"/>
              <w:bCs/>
              <w:szCs w:val="32"/>
            </w:rPr>
            <w:t>六、一般公共预算财政拨款基本支出决算情况说明。</w:t>
          </w:r>
          <w:r>
            <w:tab/>
          </w:r>
          <w:r>
            <w:fldChar w:fldCharType="begin"/>
          </w:r>
          <w:r>
            <w:instrText xml:space="preserve"> PAGEREF _Toc26339 \h </w:instrText>
          </w:r>
          <w:r>
            <w:fldChar w:fldCharType="separate"/>
          </w:r>
          <w:r>
            <w:t>11</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_Toc25558 </w:instrText>
          </w:r>
          <w:r>
            <w:rPr>
              <w:rFonts w:hint="eastAsia" w:ascii="黑体" w:hAnsi="宋体" w:eastAsia="黑体" w:cs="黑体"/>
              <w:szCs w:val="32"/>
              <w:lang w:val="en-US"/>
            </w:rPr>
            <w:fldChar w:fldCharType="separate"/>
          </w:r>
          <w:r>
            <w:rPr>
              <w:rFonts w:hint="eastAsia" w:ascii="黑体" w:hAnsi="宋体" w:eastAsia="黑体" w:cs="黑体"/>
              <w:bCs/>
              <w:szCs w:val="32"/>
            </w:rPr>
            <w:t>七、政府性基金预算财政拨款支出决算情况说明</w:t>
          </w:r>
          <w:r>
            <w:tab/>
          </w:r>
          <w:r>
            <w:fldChar w:fldCharType="begin"/>
          </w:r>
          <w:r>
            <w:instrText xml:space="preserve"> PAGEREF _Toc25558 \h </w:instrText>
          </w:r>
          <w:r>
            <w:fldChar w:fldCharType="separate"/>
          </w:r>
          <w:r>
            <w:t>11</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_Toc2590 </w:instrText>
          </w:r>
          <w:r>
            <w:rPr>
              <w:rFonts w:hint="eastAsia" w:ascii="黑体" w:hAnsi="宋体" w:eastAsia="黑体" w:cs="黑体"/>
              <w:szCs w:val="32"/>
              <w:lang w:val="en-US"/>
            </w:rPr>
            <w:fldChar w:fldCharType="separate"/>
          </w:r>
          <w:r>
            <w:rPr>
              <w:rFonts w:hint="eastAsia" w:ascii="黑体" w:hAnsi="宋体" w:eastAsia="黑体" w:cs="黑体"/>
              <w:bCs/>
              <w:szCs w:val="32"/>
            </w:rPr>
            <w:t>八、国有资本经营预算财政拨款支出决算情况说明</w:t>
          </w:r>
          <w:r>
            <w:tab/>
          </w:r>
          <w:r>
            <w:fldChar w:fldCharType="begin"/>
          </w:r>
          <w:r>
            <w:instrText xml:space="preserve"> PAGEREF _Toc2590 \h </w:instrText>
          </w:r>
          <w:r>
            <w:fldChar w:fldCharType="separate"/>
          </w:r>
          <w:r>
            <w:t>12</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_Toc27087 </w:instrText>
          </w:r>
          <w:r>
            <w:rPr>
              <w:rFonts w:hint="eastAsia" w:ascii="黑体" w:hAnsi="宋体" w:eastAsia="黑体" w:cs="黑体"/>
              <w:szCs w:val="32"/>
              <w:lang w:val="en-US"/>
            </w:rPr>
            <w:fldChar w:fldCharType="separate"/>
          </w:r>
          <w:r>
            <w:rPr>
              <w:rFonts w:hint="eastAsia" w:ascii="黑体" w:hAnsi="宋体" w:eastAsia="黑体" w:cs="黑体"/>
              <w:bCs/>
              <w:szCs w:val="32"/>
            </w:rPr>
            <w:t>九、一般公共预算财政拨款“三公”经费支出决算情况说明</w:t>
          </w:r>
          <w:r>
            <w:tab/>
          </w:r>
          <w:r>
            <w:fldChar w:fldCharType="begin"/>
          </w:r>
          <w:r>
            <w:instrText xml:space="preserve"> PAGEREF _Toc27087 \h </w:instrText>
          </w:r>
          <w:r>
            <w:fldChar w:fldCharType="separate"/>
          </w:r>
          <w:r>
            <w:t>13</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_Toc5452 </w:instrText>
          </w:r>
          <w:r>
            <w:rPr>
              <w:rFonts w:hint="eastAsia" w:ascii="黑体" w:hAnsi="宋体" w:eastAsia="黑体" w:cs="黑体"/>
              <w:szCs w:val="32"/>
              <w:lang w:val="en-US"/>
            </w:rPr>
            <w:fldChar w:fldCharType="separate"/>
          </w:r>
          <w:r>
            <w:rPr>
              <w:rFonts w:hint="eastAsia" w:ascii="黑体" w:hAnsi="宋体" w:eastAsia="黑体" w:cs="黑体"/>
              <w:bCs/>
              <w:szCs w:val="32"/>
            </w:rPr>
            <w:t>十、政府性基金预算财政拨款“三公”经费支出决算情况说明</w:t>
          </w:r>
          <w:r>
            <w:tab/>
          </w:r>
          <w:r>
            <w:fldChar w:fldCharType="begin"/>
          </w:r>
          <w:r>
            <w:instrText xml:space="preserve"> PAGEREF _Toc5452 \h </w:instrText>
          </w:r>
          <w:r>
            <w:fldChar w:fldCharType="separate"/>
          </w:r>
          <w:r>
            <w:t>15</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_Toc11414 </w:instrText>
          </w:r>
          <w:r>
            <w:rPr>
              <w:rFonts w:hint="eastAsia" w:ascii="黑体" w:hAnsi="宋体" w:eastAsia="黑体" w:cs="黑体"/>
              <w:szCs w:val="32"/>
              <w:lang w:val="en-US"/>
            </w:rPr>
            <w:fldChar w:fldCharType="separate"/>
          </w:r>
          <w:r>
            <w:rPr>
              <w:rFonts w:hint="eastAsia" w:ascii="黑体" w:hAnsi="宋体" w:eastAsia="黑体" w:cs="黑体"/>
              <w:bCs/>
              <w:szCs w:val="32"/>
            </w:rPr>
            <w:t>十一、国有资本经营预算财政拨款“三公”经费支出决算情况说明</w:t>
          </w:r>
          <w:r>
            <w:tab/>
          </w:r>
          <w:r>
            <w:fldChar w:fldCharType="begin"/>
          </w:r>
          <w:r>
            <w:instrText xml:space="preserve"> PAGEREF _Toc11414 \h </w:instrText>
          </w:r>
          <w:r>
            <w:fldChar w:fldCharType="separate"/>
          </w:r>
          <w:r>
            <w:t>15</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_Toc27942 </w:instrText>
          </w:r>
          <w:r>
            <w:rPr>
              <w:rFonts w:hint="eastAsia" w:ascii="黑体" w:hAnsi="宋体" w:eastAsia="黑体" w:cs="黑体"/>
              <w:szCs w:val="32"/>
              <w:lang w:val="en-US"/>
            </w:rPr>
            <w:fldChar w:fldCharType="separate"/>
          </w:r>
          <w:r>
            <w:rPr>
              <w:rFonts w:hint="eastAsia" w:ascii="黑体" w:hAnsi="宋体" w:eastAsia="黑体" w:cs="黑体"/>
              <w:bCs/>
              <w:szCs w:val="32"/>
            </w:rPr>
            <w:t>十二、预算绩效情况说明。</w:t>
          </w:r>
          <w:r>
            <w:tab/>
          </w:r>
          <w:r>
            <w:fldChar w:fldCharType="begin"/>
          </w:r>
          <w:r>
            <w:instrText xml:space="preserve"> PAGEREF _Toc27942 \h </w:instrText>
          </w:r>
          <w:r>
            <w:fldChar w:fldCharType="separate"/>
          </w:r>
          <w:r>
            <w:t>15</w:t>
          </w:r>
          <w:r>
            <w:fldChar w:fldCharType="end"/>
          </w:r>
          <w:r>
            <w:rPr>
              <w:rFonts w:hint="eastAsia" w:ascii="黑体" w:hAnsi="宋体" w:eastAsia="黑体" w:cs="黑体"/>
              <w:szCs w:val="32"/>
              <w:lang w:val="en-US"/>
            </w:rPr>
            <w:fldChar w:fldCharType="end"/>
          </w:r>
        </w:p>
        <w:p>
          <w:pPr>
            <w:pStyle w:val="13"/>
            <w:tabs>
              <w:tab w:val="right" w:leader="dot" w:pos="8315"/>
            </w:tabs>
          </w:pPr>
          <w:r>
            <w:rPr>
              <w:rFonts w:hint="eastAsia" w:ascii="黑体" w:hAnsi="宋体" w:eastAsia="黑体" w:cs="黑体"/>
              <w:szCs w:val="32"/>
              <w:lang w:val="en-US"/>
            </w:rPr>
            <w:fldChar w:fldCharType="begin"/>
          </w:r>
          <w:r>
            <w:rPr>
              <w:rFonts w:hint="eastAsia" w:ascii="黑体" w:hAnsi="宋体" w:eastAsia="黑体" w:cs="黑体"/>
              <w:szCs w:val="32"/>
              <w:lang w:val="en-US"/>
            </w:rPr>
            <w:instrText xml:space="preserve"> HYPERLINK \l _Toc23839 </w:instrText>
          </w:r>
          <w:r>
            <w:rPr>
              <w:rFonts w:hint="eastAsia" w:ascii="黑体" w:hAnsi="宋体" w:eastAsia="黑体" w:cs="黑体"/>
              <w:szCs w:val="32"/>
              <w:lang w:val="en-US"/>
            </w:rPr>
            <w:fldChar w:fldCharType="separate"/>
          </w:r>
          <w:r>
            <w:rPr>
              <w:rFonts w:hint="eastAsia" w:ascii="黑体" w:hAnsi="宋体" w:eastAsia="黑体" w:cs="黑体"/>
              <w:bCs/>
              <w:szCs w:val="32"/>
            </w:rPr>
            <w:t>十三、其他重要事项情况说明。</w:t>
          </w:r>
          <w:r>
            <w:tab/>
          </w:r>
          <w:r>
            <w:fldChar w:fldCharType="begin"/>
          </w:r>
          <w:r>
            <w:instrText xml:space="preserve"> PAGEREF _Toc23839 \h </w:instrText>
          </w:r>
          <w:r>
            <w:fldChar w:fldCharType="separate"/>
          </w:r>
          <w:r>
            <w:t>16</w:t>
          </w:r>
          <w:r>
            <w:fldChar w:fldCharType="end"/>
          </w:r>
          <w:r>
            <w:rPr>
              <w:rFonts w:hint="eastAsia" w:ascii="黑体" w:hAnsi="宋体" w:eastAsia="黑体" w:cs="黑体"/>
              <w:szCs w:val="32"/>
              <w:lang w:val="en-US"/>
            </w:rPr>
            <w:fldChar w:fldCharType="end"/>
          </w:r>
        </w:p>
        <w:p>
          <w:pPr>
            <w:pStyle w:val="12"/>
            <w:tabs>
              <w:tab w:val="right" w:leader="dot" w:pos="8315"/>
            </w:tabs>
          </w:pPr>
          <w:r>
            <w:rPr>
              <w:rFonts w:hint="eastAsia" w:ascii="黑体" w:hAnsi="宋体" w:eastAsia="黑体" w:cs="黑体"/>
              <w:b/>
              <w:szCs w:val="32"/>
              <w:lang w:val="en-US"/>
            </w:rPr>
            <w:fldChar w:fldCharType="begin"/>
          </w:r>
          <w:r>
            <w:rPr>
              <w:rFonts w:hint="eastAsia" w:ascii="黑体" w:hAnsi="宋体" w:eastAsia="黑体" w:cs="黑体"/>
              <w:b/>
              <w:szCs w:val="32"/>
              <w:lang w:val="en-US"/>
            </w:rPr>
            <w:instrText xml:space="preserve"> HYPERLINK \l _Toc26980 </w:instrText>
          </w:r>
          <w:r>
            <w:rPr>
              <w:rFonts w:hint="eastAsia" w:ascii="黑体" w:hAnsi="宋体" w:eastAsia="黑体" w:cs="黑体"/>
              <w:b/>
              <w:szCs w:val="32"/>
              <w:lang w:val="en-US"/>
            </w:rPr>
            <w:fldChar w:fldCharType="separate"/>
          </w:r>
          <w:r>
            <w:rPr>
              <w:rFonts w:hint="eastAsia" w:ascii="黑体" w:hAnsi="ˎ̥" w:eastAsia="黑体" w:cs="黑体"/>
              <w:b/>
              <w:szCs w:val="32"/>
            </w:rPr>
            <w:t>第四部分</w:t>
          </w:r>
          <w:r>
            <w:rPr>
              <w:rFonts w:hint="eastAsia" w:ascii="黑体" w:hAnsi="ˎ̥" w:eastAsia="黑体" w:cs="黑体"/>
              <w:b/>
              <w:szCs w:val="32"/>
              <w:lang w:val="en-US"/>
            </w:rPr>
            <w:t xml:space="preserve">  </w:t>
          </w:r>
          <w:r>
            <w:rPr>
              <w:rFonts w:hint="eastAsia" w:ascii="黑体" w:hAnsi="ˎ̥" w:eastAsia="黑体" w:cs="黑体"/>
              <w:b/>
              <w:szCs w:val="32"/>
            </w:rPr>
            <w:t>名词解释</w:t>
          </w:r>
          <w:r>
            <w:rPr>
              <w:b/>
            </w:rPr>
            <w:tab/>
          </w:r>
          <w:r>
            <w:rPr>
              <w:b/>
            </w:rPr>
            <w:fldChar w:fldCharType="begin"/>
          </w:r>
          <w:r>
            <w:rPr>
              <w:b/>
            </w:rPr>
            <w:instrText xml:space="preserve"> PAGEREF _Toc26980 \h </w:instrText>
          </w:r>
          <w:r>
            <w:rPr>
              <w:b/>
            </w:rPr>
            <w:fldChar w:fldCharType="separate"/>
          </w:r>
          <w:r>
            <w:rPr>
              <w:b/>
            </w:rPr>
            <w:t>18</w:t>
          </w:r>
          <w:r>
            <w:rPr>
              <w:b/>
            </w:rPr>
            <w:fldChar w:fldCharType="end"/>
          </w:r>
          <w:r>
            <w:rPr>
              <w:rFonts w:hint="eastAsia" w:ascii="黑体" w:hAnsi="宋体" w:eastAsia="黑体" w:cs="黑体"/>
              <w:b/>
              <w:szCs w:val="32"/>
              <w:lang w:val="en-US"/>
            </w:rPr>
            <w:fldChar w:fldCharType="end"/>
          </w:r>
        </w:p>
        <w:p>
          <w:pPr>
            <w:keepNext w:val="0"/>
            <w:keepLines w:val="0"/>
            <w:widowControl/>
            <w:suppressLineNumbers w:val="0"/>
            <w:spacing w:before="0" w:beforeAutospacing="1" w:after="0" w:afterAutospacing="1"/>
            <w:ind w:left="0" w:right="0"/>
            <w:jc w:val="left"/>
            <w:rPr>
              <w:rFonts w:hint="eastAsia" w:ascii="黑体" w:hAnsi="宋体" w:eastAsia="黑体" w:cs="黑体"/>
              <w:sz w:val="32"/>
              <w:szCs w:val="32"/>
              <w:lang w:val="en-US"/>
            </w:rPr>
          </w:pPr>
          <w:r>
            <w:rPr>
              <w:rFonts w:hint="eastAsia" w:ascii="黑体" w:hAnsi="宋体" w:eastAsia="黑体" w:cs="黑体"/>
              <w:b/>
              <w:szCs w:val="32"/>
              <w:lang w:val="en-US"/>
            </w:rPr>
            <w:fldChar w:fldCharType="end"/>
          </w:r>
        </w:p>
      </w:sdtContent>
    </w:sdt>
    <w:p>
      <w:pPr>
        <w:keepNext w:val="0"/>
        <w:keepLines w:val="0"/>
        <w:widowControl/>
        <w:suppressLineNumbers w:val="0"/>
        <w:spacing w:before="0" w:beforeAutospacing="1" w:after="0" w:afterAutospacing="1"/>
        <w:ind w:left="0" w:right="0"/>
        <w:jc w:val="center"/>
        <w:rPr>
          <w:rFonts w:hint="eastAsia" w:ascii="黑体" w:hAnsi="ˎ̥" w:eastAsia="黑体" w:cs="黑体"/>
          <w:b/>
          <w:bCs w:val="0"/>
          <w:sz w:val="32"/>
          <w:szCs w:val="32"/>
          <w:lang w:val="en-US"/>
        </w:rPr>
      </w:pPr>
    </w:p>
    <w:p>
      <w:pPr>
        <w:keepNext w:val="0"/>
        <w:keepLines w:val="0"/>
        <w:widowControl/>
        <w:suppressLineNumbers w:val="0"/>
        <w:spacing w:before="0" w:beforeAutospacing="1" w:after="0" w:afterAutospacing="1"/>
        <w:ind w:left="0" w:right="0"/>
        <w:jc w:val="center"/>
        <w:rPr>
          <w:rFonts w:hint="eastAsia" w:ascii="黑体" w:hAnsi="ˎ̥" w:eastAsia="黑体" w:cs="黑体"/>
          <w:sz w:val="32"/>
          <w:szCs w:val="32"/>
        </w:rPr>
      </w:pPr>
      <w:bookmarkStart w:id="1" w:name="_Toc1704_WPSOffice_Level1"/>
      <w:bookmarkStart w:id="2" w:name="_Toc23465_WPSOffice_Level1"/>
      <w:bookmarkStart w:id="3" w:name="_Toc22941_WPSOffice_Level1"/>
      <w:bookmarkStart w:id="4" w:name="_Toc10049_WPSOffice_Level1"/>
      <w:bookmarkStart w:id="5" w:name="_Toc10720_WPSOffice_Level1"/>
      <w:bookmarkStart w:id="6" w:name="_Toc32433_WPSOffice_Level1"/>
      <w:bookmarkStart w:id="7" w:name="_Toc24238_WPSOffice_Level2"/>
      <w:bookmarkStart w:id="8" w:name="_Toc32622_WPSOffice_Level2"/>
      <w:bookmarkStart w:id="9" w:name="_Toc14159_WPSOffice_Level2"/>
      <w:bookmarkStart w:id="10" w:name="_Toc20205_WPSOffice_Level2"/>
      <w:bookmarkStart w:id="11" w:name="_Toc26580_WPSOffice_Level2"/>
      <w:bookmarkStart w:id="12" w:name="_Toc20274_WPSOffice_Level2"/>
    </w:p>
    <w:p>
      <w:pPr>
        <w:keepNext w:val="0"/>
        <w:keepLines w:val="0"/>
        <w:widowControl/>
        <w:suppressLineNumbers w:val="0"/>
        <w:spacing w:before="0" w:beforeAutospacing="1" w:after="0" w:afterAutospacing="1"/>
        <w:ind w:left="0" w:right="0"/>
        <w:jc w:val="center"/>
        <w:outlineLvl w:val="0"/>
        <w:rPr>
          <w:rFonts w:ascii="楷体" w:hAnsi="楷体" w:eastAsia="楷体" w:cs="楷体"/>
          <w:sz w:val="32"/>
          <w:szCs w:val="32"/>
          <w:lang w:val="en-US"/>
        </w:rPr>
      </w:pPr>
      <w:bookmarkStart w:id="13" w:name="_Toc30397"/>
      <w:r>
        <w:rPr>
          <w:rFonts w:hint="eastAsia" w:ascii="黑体" w:hAnsi="ˎ̥" w:eastAsia="黑体" w:cs="黑体"/>
          <w:sz w:val="32"/>
          <w:szCs w:val="32"/>
        </w:rPr>
        <w:t>第一部分</w:t>
      </w:r>
      <w:r>
        <w:rPr>
          <w:rFonts w:hint="eastAsia" w:ascii="黑体" w:hAnsi="ˎ̥" w:eastAsia="黑体" w:cs="黑体"/>
          <w:sz w:val="32"/>
          <w:szCs w:val="32"/>
          <w:lang w:val="en-US"/>
        </w:rPr>
        <w:t xml:space="preserve">  </w:t>
      </w:r>
      <w:r>
        <w:rPr>
          <w:rFonts w:hint="eastAsia" w:ascii="黑体" w:hAnsi="ˎ̥" w:eastAsia="黑体" w:cs="黑体"/>
          <w:sz w:val="32"/>
          <w:szCs w:val="32"/>
        </w:rPr>
        <w:t>单位概况</w:t>
      </w:r>
      <w:bookmarkEnd w:id="1"/>
      <w:bookmarkEnd w:id="2"/>
      <w:bookmarkEnd w:id="3"/>
      <w:bookmarkEnd w:id="4"/>
      <w:bookmarkEnd w:id="5"/>
      <w:bookmarkEnd w:id="6"/>
      <w:bookmarkEnd w:id="13"/>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sz w:val="32"/>
          <w:szCs w:val="32"/>
        </w:rPr>
      </w:pPr>
      <w:bookmarkStart w:id="14" w:name="_Toc18659"/>
      <w:r>
        <w:rPr>
          <w:rFonts w:hint="eastAsia" w:ascii="黑体" w:hAnsi="宋体" w:eastAsia="黑体" w:cs="黑体"/>
          <w:sz w:val="32"/>
          <w:szCs w:val="32"/>
        </w:rPr>
        <w:t>一、</w:t>
      </w:r>
      <w:bookmarkEnd w:id="7"/>
      <w:r>
        <w:rPr>
          <w:rFonts w:hint="eastAsia" w:ascii="黑体" w:hAnsi="宋体" w:eastAsia="黑体" w:cs="黑体"/>
          <w:sz w:val="32"/>
          <w:szCs w:val="32"/>
        </w:rPr>
        <w:t>单位职责</w:t>
      </w:r>
      <w:bookmarkEnd w:id="8"/>
      <w:bookmarkEnd w:id="9"/>
      <w:bookmarkEnd w:id="10"/>
      <w:bookmarkEnd w:id="11"/>
      <w:bookmarkEnd w:id="12"/>
      <w:bookmarkEnd w:id="14"/>
    </w:p>
    <w:p>
      <w:pPr>
        <w:keepNext w:val="0"/>
        <w:keepLines w:val="0"/>
        <w:widowControl/>
        <w:suppressLineNumbers w:val="0"/>
        <w:spacing w:before="0" w:beforeAutospacing="1" w:after="0" w:afterAutospacing="1"/>
        <w:ind w:left="0" w:righ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万宁市北大镇禄马卫生院是市级卫生部门设立的一所医疗预防工作的综合性机构。其主要职责：以公共卫生服务为主，综合提供预防、保健和基本医疗等服务。‚加强农村疾病预防控制，做好传染病、地方病防治和疫情等农村突发性公共卫生事件报告工作，重点控制严重危害农民身体健康的传染病、地方病、职业病和寄生虫病等重大疾病。认真执行儿童计划免疫。积极开展慢性非传染性疾病的防治工作。④做好农村孕产妇和儿童保健工作，提高住院分娩率，改善儿童营养状况。⑤积极做好新型农村合作医疗的服务、计划生育技术指导、康复等工作。⑥开展爱国卫生运动，普及疾病预防和卫生保健知识，指导群众改善居住、饮食、饮水和环境卫生条件，引导和帮助农民建立良好的卫生习惯。</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sz w:val="32"/>
          <w:szCs w:val="32"/>
          <w:lang w:val="en-US"/>
        </w:rPr>
      </w:pPr>
      <w:bookmarkStart w:id="15" w:name="_Toc17796_WPSOffice_Level2"/>
      <w:bookmarkStart w:id="16" w:name="_Toc4833_WPSOffice_Level2"/>
      <w:bookmarkStart w:id="17" w:name="_Toc24474_WPSOffice_Level2"/>
      <w:bookmarkStart w:id="18" w:name="_Toc12721"/>
      <w:bookmarkStart w:id="19" w:name="_Toc24059_WPSOffice_Level2"/>
      <w:bookmarkStart w:id="20" w:name="_Toc6572_WPSOffice_Level2"/>
      <w:r>
        <w:rPr>
          <w:rFonts w:hint="eastAsia" w:ascii="黑体" w:hAnsi="宋体" w:eastAsia="黑体" w:cs="黑体"/>
          <w:sz w:val="32"/>
          <w:szCs w:val="32"/>
        </w:rPr>
        <w:t>二、机构设置</w:t>
      </w:r>
      <w:bookmarkEnd w:id="15"/>
      <w:bookmarkEnd w:id="16"/>
      <w:bookmarkEnd w:id="17"/>
      <w:bookmarkEnd w:id="18"/>
      <w:bookmarkEnd w:id="19"/>
      <w:bookmarkEnd w:id="20"/>
    </w:p>
    <w:p>
      <w:pPr>
        <w:keepNext w:val="0"/>
        <w:keepLines w:val="0"/>
        <w:widowControl/>
        <w:suppressLineNumbers w:val="0"/>
        <w:spacing w:before="0" w:beforeAutospacing="1" w:after="0" w:afterAutospacing="1"/>
        <w:ind w:left="0" w:right="0" w:firstLine="640" w:firstLineChars="200"/>
        <w:jc w:val="left"/>
        <w:rPr>
          <w:rFonts w:hint="eastAsia" w:ascii="仿宋_GB2312" w:hAnsi="ˎ̥" w:eastAsia="仿宋_GB2312" w:cs="仿宋_GB2312"/>
          <w:sz w:val="32"/>
          <w:szCs w:val="32"/>
        </w:rPr>
      </w:pPr>
      <w:bookmarkStart w:id="21" w:name="_Toc30451_WPSOffice_Level1"/>
      <w:bookmarkStart w:id="22" w:name="_Toc6234_WPSOffice_Level1"/>
      <w:bookmarkStart w:id="23" w:name="_Toc8164_WPSOffice_Level1"/>
      <w:bookmarkStart w:id="24" w:name="_Toc30690_WPSOffice_Level1"/>
      <w:bookmarkStart w:id="25" w:name="_Toc28253_WPSOffice_Level1"/>
      <w:bookmarkStart w:id="26" w:name="_Toc15521_WPSOffice_Level1"/>
      <w:bookmarkStart w:id="27" w:name="_Toc8867_WPSOffice_Level2"/>
      <w:bookmarkStart w:id="28" w:name="_Toc6211_WPSOffice_Level2"/>
      <w:bookmarkStart w:id="29" w:name="_Toc32695_WPSOffice_Level2"/>
      <w:bookmarkStart w:id="30" w:name="_Toc4029_WPSOffice_Level2"/>
      <w:bookmarkStart w:id="31" w:name="_Toc32472_WPSOffice_Level2"/>
      <w:bookmarkStart w:id="32" w:name="_Toc11518_WPSOffice_Level2"/>
      <w:r>
        <w:rPr>
          <w:rFonts w:hint="eastAsia" w:ascii="仿宋_GB2312" w:hAnsi="ˎ̥" w:eastAsia="仿宋_GB2312" w:cs="仿宋_GB2312"/>
          <w:sz w:val="32"/>
          <w:szCs w:val="32"/>
        </w:rPr>
        <w:t>万宁市北大镇禄马卫生院设有内科、儿科、外科、妇产科、医学影像科、中医科、检验科、预防保健科、计划生育等科室。</w:t>
      </w:r>
    </w:p>
    <w:p>
      <w:pPr>
        <w:keepNext w:val="0"/>
        <w:keepLines w:val="0"/>
        <w:widowControl/>
        <w:suppressLineNumbers w:val="0"/>
        <w:spacing w:before="0" w:beforeAutospacing="1" w:after="0" w:afterAutospacing="1"/>
        <w:ind w:left="0" w:right="0"/>
        <w:jc w:val="center"/>
        <w:rPr>
          <w:rFonts w:hint="eastAsia" w:ascii="黑体" w:hAnsi="ˎ̥" w:eastAsia="黑体" w:cs="黑体"/>
          <w:sz w:val="32"/>
          <w:szCs w:val="32"/>
          <w:lang w:val="en-US"/>
        </w:rPr>
      </w:pPr>
      <w:r>
        <w:rPr>
          <w:rFonts w:hint="eastAsia" w:ascii="黑体" w:hAnsi="ˎ̥" w:eastAsia="黑体" w:cs="黑体"/>
          <w:sz w:val="32"/>
          <w:szCs w:val="32"/>
        </w:rPr>
        <w:t>第二部分</w:t>
      </w:r>
      <w:r>
        <w:rPr>
          <w:rFonts w:hint="eastAsia" w:ascii="黑体" w:hAnsi="ˎ̥" w:eastAsia="黑体" w:cs="黑体"/>
          <w:sz w:val="32"/>
          <w:szCs w:val="32"/>
          <w:lang w:val="en-US"/>
        </w:rPr>
        <w:t xml:space="preserve">  万宁市北大镇禄马卫生院2021</w:t>
      </w:r>
      <w:r>
        <w:rPr>
          <w:rFonts w:hint="eastAsia" w:ascii="黑体" w:hAnsi="ˎ̥" w:eastAsia="黑体" w:cs="黑体"/>
          <w:sz w:val="32"/>
          <w:szCs w:val="32"/>
        </w:rPr>
        <w:t>年度部门决算公开报表</w:t>
      </w:r>
      <w:bookmarkEnd w:id="21"/>
      <w:bookmarkEnd w:id="22"/>
      <w:bookmarkEnd w:id="23"/>
      <w:bookmarkEnd w:id="24"/>
      <w:bookmarkEnd w:id="25"/>
      <w:bookmarkEnd w:id="26"/>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r>
        <w:rPr>
          <w:rFonts w:hint="eastAsia" w:ascii="黑体" w:hAnsi="宋体" w:eastAsia="黑体" w:cs="黑体"/>
          <w:sz w:val="32"/>
          <w:szCs w:val="32"/>
        </w:rPr>
        <w:t>一、收入支出决算公开表（见正文附件）</w:t>
      </w:r>
      <w:bookmarkEnd w:id="27"/>
      <w:bookmarkEnd w:id="28"/>
      <w:bookmarkEnd w:id="29"/>
      <w:r>
        <w:rPr>
          <w:rFonts w:hint="eastAsia" w:ascii="黑体" w:hAnsi="宋体" w:eastAsia="黑体" w:cs="黑体"/>
          <w:sz w:val="32"/>
          <w:szCs w:val="32"/>
        </w:rPr>
        <w:t>。</w:t>
      </w:r>
      <w:bookmarkEnd w:id="30"/>
      <w:bookmarkEnd w:id="31"/>
      <w:bookmarkEnd w:id="32"/>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bookmarkStart w:id="33" w:name="_Toc23139_WPSOffice_Level2"/>
      <w:bookmarkStart w:id="34" w:name="_Toc25608_WPSOffice_Level2"/>
      <w:bookmarkStart w:id="35" w:name="_Toc26621_WPSOffice_Level2"/>
      <w:bookmarkStart w:id="36" w:name="_Toc14349_WPSOffice_Level2"/>
      <w:bookmarkStart w:id="37" w:name="_Toc30334_WPSOffice_Level2"/>
      <w:bookmarkStart w:id="38" w:name="_Toc28622_WPSOffice_Level2"/>
      <w:r>
        <w:rPr>
          <w:rFonts w:hint="eastAsia" w:ascii="黑体" w:hAnsi="宋体" w:eastAsia="黑体" w:cs="黑体"/>
          <w:sz w:val="32"/>
          <w:szCs w:val="32"/>
        </w:rPr>
        <w:t>二、收入决算公开表（见正文附件）</w:t>
      </w:r>
      <w:bookmarkEnd w:id="33"/>
      <w:bookmarkEnd w:id="34"/>
      <w:bookmarkEnd w:id="35"/>
      <w:r>
        <w:rPr>
          <w:rFonts w:hint="eastAsia" w:ascii="黑体" w:hAnsi="宋体" w:eastAsia="黑体" w:cs="黑体"/>
          <w:sz w:val="32"/>
          <w:szCs w:val="32"/>
        </w:rPr>
        <w:t>。</w:t>
      </w:r>
      <w:bookmarkEnd w:id="36"/>
      <w:bookmarkEnd w:id="37"/>
      <w:bookmarkEnd w:id="38"/>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bookmarkStart w:id="39" w:name="_Toc17626_WPSOffice_Level2"/>
      <w:bookmarkStart w:id="40" w:name="_Toc17858_WPSOffice_Level2"/>
      <w:bookmarkStart w:id="41" w:name="_Toc3262_WPSOffice_Level2"/>
      <w:bookmarkStart w:id="42" w:name="_Toc14658_WPSOffice_Level2"/>
      <w:bookmarkStart w:id="43" w:name="_Toc13854_WPSOffice_Level2"/>
      <w:bookmarkStart w:id="44" w:name="_Toc5489_WPSOffice_Level2"/>
      <w:r>
        <w:rPr>
          <w:rFonts w:hint="eastAsia" w:ascii="黑体" w:hAnsi="宋体" w:eastAsia="黑体" w:cs="黑体"/>
          <w:sz w:val="32"/>
          <w:szCs w:val="32"/>
        </w:rPr>
        <w:t>三、支出决算公开表（见正文附件）</w:t>
      </w:r>
      <w:bookmarkEnd w:id="39"/>
      <w:bookmarkEnd w:id="40"/>
      <w:bookmarkEnd w:id="41"/>
      <w:r>
        <w:rPr>
          <w:rFonts w:hint="eastAsia" w:ascii="黑体" w:hAnsi="宋体" w:eastAsia="黑体" w:cs="黑体"/>
          <w:sz w:val="32"/>
          <w:szCs w:val="32"/>
        </w:rPr>
        <w:t>。</w:t>
      </w:r>
      <w:bookmarkEnd w:id="42"/>
      <w:bookmarkEnd w:id="43"/>
      <w:bookmarkEnd w:id="44"/>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bookmarkStart w:id="45" w:name="_Toc23591_WPSOffice_Level2"/>
      <w:bookmarkStart w:id="46" w:name="_Toc13701_WPSOffice_Level2"/>
      <w:bookmarkStart w:id="47" w:name="_Toc21415_WPSOffice_Level2"/>
      <w:bookmarkStart w:id="48" w:name="_Toc7988_WPSOffice_Level2"/>
      <w:bookmarkStart w:id="49" w:name="_Toc23493_WPSOffice_Level2"/>
      <w:bookmarkStart w:id="50" w:name="_Toc4265_WPSOffice_Level2"/>
      <w:r>
        <w:rPr>
          <w:rFonts w:hint="eastAsia" w:ascii="黑体" w:hAnsi="宋体" w:eastAsia="黑体" w:cs="黑体"/>
          <w:sz w:val="32"/>
          <w:szCs w:val="32"/>
        </w:rPr>
        <w:t>四、财政拨款收入支出决算公开表（见正文附件）</w:t>
      </w:r>
      <w:bookmarkEnd w:id="45"/>
      <w:bookmarkEnd w:id="46"/>
      <w:bookmarkEnd w:id="47"/>
      <w:r>
        <w:rPr>
          <w:rFonts w:hint="eastAsia" w:ascii="黑体" w:hAnsi="宋体" w:eastAsia="黑体" w:cs="黑体"/>
          <w:sz w:val="32"/>
          <w:szCs w:val="32"/>
        </w:rPr>
        <w:t>。</w:t>
      </w:r>
      <w:bookmarkEnd w:id="48"/>
      <w:bookmarkEnd w:id="49"/>
      <w:bookmarkEnd w:id="50"/>
    </w:p>
    <w:p>
      <w:pPr>
        <w:keepNext w:val="0"/>
        <w:keepLines w:val="0"/>
        <w:widowControl/>
        <w:suppressLineNumbers w:val="0"/>
        <w:spacing w:before="0" w:beforeAutospacing="1" w:after="0" w:afterAutospacing="1"/>
        <w:ind w:left="0" w:right="0" w:firstLine="645"/>
        <w:rPr>
          <w:rFonts w:hint="eastAsia" w:ascii="黑体" w:hAnsi="宋体" w:eastAsia="黑体" w:cs="黑体"/>
          <w:sz w:val="32"/>
          <w:szCs w:val="32"/>
          <w:lang w:val="en-US"/>
        </w:rPr>
      </w:pPr>
      <w:bookmarkStart w:id="51" w:name="_Toc25166_WPSOffice_Level2"/>
      <w:bookmarkStart w:id="52" w:name="_Toc23829_WPSOffice_Level2"/>
      <w:bookmarkStart w:id="53" w:name="_Toc22783_WPSOffice_Level2"/>
      <w:bookmarkStart w:id="54" w:name="_Toc7879_WPSOffice_Level2"/>
      <w:bookmarkStart w:id="55" w:name="_Toc13516_WPSOffice_Level2"/>
      <w:bookmarkStart w:id="56" w:name="_Toc2158_WPSOffice_Level2"/>
      <w:r>
        <w:rPr>
          <w:rFonts w:hint="eastAsia" w:ascii="黑体" w:hAnsi="宋体" w:eastAsia="黑体" w:cs="黑体"/>
          <w:sz w:val="32"/>
          <w:szCs w:val="32"/>
        </w:rPr>
        <w:t>五、一般公共预算财政拨款收入支出决算</w:t>
      </w:r>
      <w:bookmarkEnd w:id="51"/>
      <w:bookmarkEnd w:id="52"/>
      <w:bookmarkEnd w:id="53"/>
      <w:bookmarkEnd w:id="54"/>
      <w:r>
        <w:rPr>
          <w:rFonts w:hint="eastAsia" w:ascii="黑体" w:hAnsi="宋体" w:eastAsia="黑体" w:cs="黑体"/>
          <w:sz w:val="32"/>
          <w:szCs w:val="32"/>
        </w:rPr>
        <w:t>公开表</w:t>
      </w:r>
    </w:p>
    <w:p>
      <w:pPr>
        <w:keepNext w:val="0"/>
        <w:keepLines w:val="0"/>
        <w:widowControl/>
        <w:suppressLineNumbers w:val="0"/>
        <w:spacing w:before="0" w:beforeAutospacing="1" w:after="0" w:afterAutospacing="1"/>
        <w:ind w:left="0" w:right="0" w:firstLine="1302" w:firstLineChars="407"/>
        <w:rPr>
          <w:rFonts w:hint="eastAsia" w:ascii="黑体" w:hAnsi="宋体" w:eastAsia="黑体" w:cs="黑体"/>
          <w:sz w:val="32"/>
          <w:szCs w:val="32"/>
          <w:lang w:val="en-US"/>
        </w:rPr>
      </w:pPr>
      <w:r>
        <w:rPr>
          <w:rFonts w:hint="eastAsia" w:ascii="黑体" w:hAnsi="宋体" w:eastAsia="黑体" w:cs="黑体"/>
          <w:sz w:val="32"/>
          <w:szCs w:val="32"/>
        </w:rPr>
        <w:t>（见正文附件）</w:t>
      </w:r>
      <w:bookmarkEnd w:id="55"/>
      <w:bookmarkEnd w:id="56"/>
      <w:r>
        <w:rPr>
          <w:rFonts w:hint="eastAsia" w:ascii="黑体" w:hAnsi="宋体" w:eastAsia="黑体" w:cs="黑体"/>
          <w:sz w:val="32"/>
          <w:szCs w:val="32"/>
        </w:rPr>
        <w:t>。</w:t>
      </w:r>
    </w:p>
    <w:p>
      <w:pPr>
        <w:keepNext w:val="0"/>
        <w:keepLines w:val="0"/>
        <w:widowControl/>
        <w:suppressLineNumbers w:val="0"/>
        <w:spacing w:before="0" w:beforeAutospacing="1" w:after="0" w:afterAutospacing="1"/>
        <w:ind w:left="0" w:right="0" w:firstLine="645"/>
        <w:outlineLvl w:val="1"/>
        <w:rPr>
          <w:rFonts w:hint="eastAsia" w:ascii="黑体" w:hAnsi="宋体" w:eastAsia="黑体" w:cs="黑体"/>
          <w:sz w:val="32"/>
          <w:szCs w:val="32"/>
          <w:lang w:val="en-US"/>
        </w:rPr>
      </w:pPr>
      <w:bookmarkStart w:id="57" w:name="_Toc2632_WPSOffice_Level2"/>
      <w:bookmarkStart w:id="58" w:name="_Toc8373_WPSOffice_Level2"/>
      <w:bookmarkStart w:id="59" w:name="_Toc25362_WPSOffice_Level2"/>
      <w:bookmarkStart w:id="60" w:name="_Toc5343_WPSOffice_Level2"/>
      <w:bookmarkStart w:id="61" w:name="_Toc17833_WPSOffice_Level2"/>
      <w:bookmarkStart w:id="62" w:name="_Toc17283_WPSOffice_Level2"/>
      <w:bookmarkStart w:id="63" w:name="_Toc28977"/>
      <w:r>
        <w:rPr>
          <w:rFonts w:hint="eastAsia" w:ascii="黑体" w:hAnsi="宋体" w:eastAsia="黑体" w:cs="黑体"/>
          <w:sz w:val="32"/>
          <w:szCs w:val="32"/>
        </w:rPr>
        <w:t>六、一般公共预算财政拨款基本支出决算</w:t>
      </w:r>
      <w:bookmarkEnd w:id="57"/>
      <w:bookmarkEnd w:id="58"/>
      <w:bookmarkEnd w:id="59"/>
      <w:bookmarkEnd w:id="60"/>
      <w:bookmarkEnd w:id="61"/>
      <w:bookmarkEnd w:id="62"/>
      <w:r>
        <w:rPr>
          <w:rFonts w:hint="eastAsia" w:ascii="黑体" w:hAnsi="宋体" w:eastAsia="黑体" w:cs="黑体"/>
          <w:sz w:val="32"/>
          <w:szCs w:val="32"/>
        </w:rPr>
        <w:t>公开表</w:t>
      </w:r>
      <w:bookmarkEnd w:id="63"/>
    </w:p>
    <w:p>
      <w:pPr>
        <w:keepNext w:val="0"/>
        <w:keepLines w:val="0"/>
        <w:widowControl/>
        <w:suppressLineNumbers w:val="0"/>
        <w:spacing w:before="0" w:beforeAutospacing="1" w:after="0" w:afterAutospacing="1"/>
        <w:ind w:left="0" w:right="0" w:firstLine="1280" w:firstLineChars="400"/>
        <w:rPr>
          <w:rFonts w:hint="eastAsia" w:ascii="黑体" w:hAnsi="宋体" w:eastAsia="黑体" w:cs="黑体"/>
          <w:sz w:val="32"/>
          <w:szCs w:val="32"/>
          <w:lang w:val="en-US"/>
        </w:rPr>
      </w:pPr>
      <w:r>
        <w:rPr>
          <w:rFonts w:hint="eastAsia" w:ascii="黑体" w:hAnsi="宋体" w:eastAsia="黑体" w:cs="黑体"/>
          <w:sz w:val="32"/>
          <w:szCs w:val="32"/>
        </w:rPr>
        <w:t>（见正文附件）。</w:t>
      </w:r>
    </w:p>
    <w:p>
      <w:pPr>
        <w:keepNext w:val="0"/>
        <w:keepLines w:val="0"/>
        <w:widowControl/>
        <w:suppressLineNumbers w:val="0"/>
        <w:spacing w:before="0" w:beforeAutospacing="1" w:after="0" w:afterAutospacing="1"/>
        <w:ind w:left="1210" w:leftChars="304" w:right="0" w:hanging="480" w:hangingChars="150"/>
        <w:outlineLvl w:val="1"/>
        <w:rPr>
          <w:rFonts w:hint="eastAsia" w:ascii="黑体" w:hAnsi="宋体" w:eastAsia="黑体" w:cs="黑体"/>
          <w:sz w:val="32"/>
          <w:szCs w:val="32"/>
          <w:lang w:val="en-US"/>
        </w:rPr>
      </w:pPr>
      <w:bookmarkStart w:id="64" w:name="_Toc21310_WPSOffice_Level2"/>
      <w:bookmarkStart w:id="65" w:name="_Toc1533_WPSOffice_Level2"/>
      <w:bookmarkStart w:id="66" w:name="_Toc6020_WPSOffice_Level2"/>
      <w:bookmarkStart w:id="67" w:name="_Toc11799_WPSOffice_Level2"/>
      <w:bookmarkStart w:id="68" w:name="_Toc13345_WPSOffice_Level2"/>
      <w:bookmarkStart w:id="69" w:name="_Toc5594_WPSOffice_Level2"/>
      <w:bookmarkStart w:id="70" w:name="_Toc15846"/>
      <w:r>
        <w:rPr>
          <w:rFonts w:hint="eastAsia" w:ascii="黑体" w:hAnsi="宋体" w:eastAsia="黑体" w:cs="黑体"/>
          <w:sz w:val="32"/>
          <w:szCs w:val="32"/>
        </w:rPr>
        <w:t>七、政府性基金预算财政拨款收入支出决算</w:t>
      </w:r>
      <w:bookmarkEnd w:id="64"/>
      <w:bookmarkEnd w:id="65"/>
      <w:bookmarkEnd w:id="66"/>
      <w:bookmarkEnd w:id="67"/>
      <w:bookmarkEnd w:id="68"/>
      <w:bookmarkEnd w:id="69"/>
      <w:r>
        <w:rPr>
          <w:rFonts w:hint="eastAsia" w:ascii="黑体" w:hAnsi="宋体" w:eastAsia="黑体" w:cs="黑体"/>
          <w:sz w:val="32"/>
          <w:szCs w:val="32"/>
        </w:rPr>
        <w:t>公开表</w:t>
      </w:r>
      <w:bookmarkEnd w:id="70"/>
    </w:p>
    <w:p>
      <w:pPr>
        <w:keepNext w:val="0"/>
        <w:keepLines w:val="0"/>
        <w:widowControl/>
        <w:suppressLineNumbers w:val="0"/>
        <w:spacing w:before="0" w:beforeAutospacing="1" w:after="0" w:afterAutospacing="1"/>
        <w:ind w:left="1459" w:leftChars="608" w:right="0" w:firstLine="160" w:firstLineChars="50"/>
        <w:rPr>
          <w:rFonts w:hint="eastAsia" w:ascii="黑体" w:hAnsi="宋体" w:eastAsia="黑体" w:cs="黑体"/>
          <w:sz w:val="32"/>
          <w:szCs w:val="32"/>
          <w:lang w:val="en-US"/>
        </w:rPr>
      </w:pPr>
      <w:r>
        <w:rPr>
          <w:rFonts w:hint="eastAsia" w:ascii="黑体" w:hAnsi="宋体" w:eastAsia="黑体" w:cs="黑体"/>
          <w:sz w:val="32"/>
          <w:szCs w:val="32"/>
        </w:rPr>
        <w:t>（见正文附件）。</w:t>
      </w:r>
    </w:p>
    <w:p>
      <w:pPr>
        <w:keepNext w:val="0"/>
        <w:keepLines w:val="0"/>
        <w:widowControl/>
        <w:suppressLineNumbers w:val="0"/>
        <w:spacing w:before="0" w:beforeAutospacing="1" w:after="0" w:afterAutospacing="1"/>
        <w:ind w:left="1210" w:leftChars="304" w:right="0" w:hanging="480" w:hangingChars="150"/>
        <w:outlineLvl w:val="1"/>
        <w:rPr>
          <w:rFonts w:hint="eastAsia" w:ascii="黑体" w:hAnsi="宋体" w:eastAsia="黑体" w:cs="黑体"/>
          <w:sz w:val="32"/>
          <w:szCs w:val="32"/>
          <w:lang w:val="en-US"/>
        </w:rPr>
      </w:pPr>
      <w:bookmarkStart w:id="71" w:name="_Toc2906"/>
      <w:r>
        <w:rPr>
          <w:rFonts w:hint="eastAsia" w:ascii="黑体" w:hAnsi="宋体" w:eastAsia="黑体" w:cs="黑体"/>
          <w:sz w:val="32"/>
          <w:szCs w:val="32"/>
        </w:rPr>
        <w:t>八、国有资本经营预算财政拨款收入支出决算公开表</w:t>
      </w:r>
      <w:bookmarkEnd w:id="71"/>
    </w:p>
    <w:p>
      <w:pPr>
        <w:keepNext w:val="0"/>
        <w:keepLines w:val="0"/>
        <w:widowControl/>
        <w:suppressLineNumbers w:val="0"/>
        <w:spacing w:before="0" w:beforeAutospacing="1" w:after="0" w:afterAutospacing="1"/>
        <w:ind w:left="1459" w:leftChars="608" w:right="0" w:firstLine="160" w:firstLineChars="50"/>
        <w:rPr>
          <w:rFonts w:hint="eastAsia" w:ascii="黑体" w:hAnsi="宋体" w:eastAsia="黑体" w:cs="黑体"/>
          <w:sz w:val="32"/>
          <w:szCs w:val="32"/>
          <w:lang w:val="en-US"/>
        </w:rPr>
      </w:pPr>
      <w:r>
        <w:rPr>
          <w:rFonts w:hint="eastAsia" w:ascii="黑体" w:hAnsi="宋体" w:eastAsia="黑体" w:cs="黑体"/>
          <w:sz w:val="32"/>
          <w:szCs w:val="32"/>
        </w:rPr>
        <w:t>（见正文附件）。</w:t>
      </w:r>
    </w:p>
    <w:p>
      <w:pPr>
        <w:keepNext w:val="0"/>
        <w:keepLines w:val="0"/>
        <w:widowControl/>
        <w:suppressLineNumbers w:val="0"/>
        <w:spacing w:before="0" w:beforeAutospacing="1" w:after="0" w:afterAutospacing="1"/>
        <w:ind w:left="0" w:right="0"/>
        <w:outlineLvl w:val="1"/>
        <w:rPr>
          <w:rFonts w:hint="eastAsia" w:ascii="黑体" w:hAnsi="宋体" w:eastAsia="黑体" w:cs="黑体"/>
          <w:sz w:val="32"/>
          <w:szCs w:val="32"/>
          <w:lang w:val="en-US"/>
        </w:rPr>
      </w:pPr>
      <w:bookmarkStart w:id="72" w:name="_Toc19961_WPSOffice_Level2"/>
      <w:bookmarkStart w:id="73" w:name="_Toc1820_WPSOffice_Level2"/>
      <w:bookmarkStart w:id="74" w:name="_Toc9377_WPSOffice_Level2"/>
      <w:bookmarkStart w:id="75" w:name="_Toc29886_WPSOffice_Level2"/>
      <w:r>
        <w:rPr>
          <w:rFonts w:hint="eastAsia" w:ascii="黑体" w:hAnsi="宋体" w:eastAsia="黑体" w:cs="黑体"/>
          <w:sz w:val="32"/>
          <w:szCs w:val="32"/>
          <w:lang w:val="en-US"/>
        </w:rPr>
        <w:t xml:space="preserve">    </w:t>
      </w:r>
      <w:bookmarkStart w:id="76" w:name="_Toc18606"/>
      <w:r>
        <w:rPr>
          <w:rFonts w:hint="eastAsia" w:ascii="黑体" w:hAnsi="宋体" w:eastAsia="黑体" w:cs="黑体"/>
          <w:sz w:val="32"/>
          <w:szCs w:val="32"/>
        </w:rPr>
        <w:t>九、一般公共预算财政拨款“三公”经费支出决算</w:t>
      </w:r>
      <w:bookmarkEnd w:id="76"/>
    </w:p>
    <w:p>
      <w:pPr>
        <w:keepNext w:val="0"/>
        <w:keepLines w:val="0"/>
        <w:widowControl/>
        <w:suppressLineNumbers w:val="0"/>
        <w:spacing w:before="0" w:beforeAutospacing="1" w:after="0" w:afterAutospacing="1"/>
        <w:ind w:left="0" w:right="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bookmarkEnd w:id="72"/>
      <w:bookmarkEnd w:id="73"/>
      <w:bookmarkEnd w:id="74"/>
      <w:bookmarkEnd w:id="75"/>
      <w:r>
        <w:rPr>
          <w:rFonts w:hint="eastAsia" w:ascii="黑体" w:hAnsi="宋体" w:eastAsia="黑体" w:cs="黑体"/>
          <w:sz w:val="32"/>
          <w:szCs w:val="32"/>
        </w:rPr>
        <w:t>公开表（见正文附件）。</w:t>
      </w:r>
    </w:p>
    <w:p>
      <w:pPr>
        <w:keepNext w:val="0"/>
        <w:keepLines w:val="0"/>
        <w:widowControl/>
        <w:suppressLineNumbers w:val="0"/>
        <w:spacing w:before="0" w:beforeAutospacing="1" w:after="0" w:afterAutospacing="1"/>
        <w:ind w:left="0" w:right="0"/>
        <w:outlineLvl w:val="1"/>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bookmarkStart w:id="77" w:name="_Toc7763"/>
      <w:r>
        <w:rPr>
          <w:rFonts w:hint="eastAsia" w:ascii="黑体" w:hAnsi="宋体" w:eastAsia="黑体" w:cs="黑体"/>
          <w:sz w:val="32"/>
          <w:szCs w:val="32"/>
        </w:rPr>
        <w:t>十、政府性基金预算财政拨款“三公”经费支出决算</w:t>
      </w:r>
      <w:bookmarkEnd w:id="77"/>
    </w:p>
    <w:p>
      <w:pPr>
        <w:keepNext w:val="0"/>
        <w:keepLines w:val="0"/>
        <w:widowControl/>
        <w:suppressLineNumbers w:val="0"/>
        <w:spacing w:before="0" w:beforeAutospacing="1" w:after="0" w:afterAutospacing="1"/>
        <w:ind w:left="0" w:right="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rPr>
        <w:t>公开表（见正文附件）。</w:t>
      </w:r>
    </w:p>
    <w:p>
      <w:pPr>
        <w:keepNext w:val="0"/>
        <w:keepLines w:val="0"/>
        <w:widowControl/>
        <w:suppressLineNumbers w:val="0"/>
        <w:spacing w:before="0" w:beforeAutospacing="1" w:after="0" w:afterAutospacing="1"/>
        <w:ind w:left="0" w:right="0"/>
        <w:outlineLvl w:val="1"/>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bookmarkStart w:id="78" w:name="_Toc14454"/>
      <w:r>
        <w:rPr>
          <w:rFonts w:hint="eastAsia" w:ascii="黑体" w:hAnsi="宋体" w:eastAsia="黑体" w:cs="黑体"/>
          <w:sz w:val="32"/>
          <w:szCs w:val="32"/>
        </w:rPr>
        <w:t>十一、国有资本经营预算财政拨款“三公”经费支出决算</w:t>
      </w:r>
      <w:bookmarkEnd w:id="78"/>
    </w:p>
    <w:p>
      <w:pPr>
        <w:keepNext w:val="0"/>
        <w:keepLines w:val="0"/>
        <w:widowControl/>
        <w:suppressLineNumbers w:val="0"/>
        <w:spacing w:before="0" w:beforeAutospacing="1" w:after="0" w:afterAutospacing="1"/>
        <w:ind w:left="0" w:right="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rPr>
        <w:t>公开表（见正文附件）。</w:t>
      </w:r>
    </w:p>
    <w:p>
      <w:pPr>
        <w:keepNext w:val="0"/>
        <w:keepLines w:val="0"/>
        <w:widowControl/>
        <w:suppressLineNumbers w:val="0"/>
        <w:spacing w:before="0" w:beforeAutospacing="1" w:after="0" w:afterAutospacing="1"/>
        <w:ind w:left="0" w:right="0"/>
        <w:jc w:val="center"/>
        <w:outlineLvl w:val="0"/>
        <w:rPr>
          <w:rFonts w:hint="eastAsia" w:ascii="黑体" w:hAnsi="ˎ̥" w:eastAsia="黑体" w:cs="黑体"/>
          <w:sz w:val="32"/>
          <w:szCs w:val="32"/>
          <w:lang w:val="en-US"/>
        </w:rPr>
      </w:pPr>
      <w:bookmarkStart w:id="79" w:name="_Toc4402_WPSOffice_Level1"/>
      <w:bookmarkStart w:id="80" w:name="_Toc31264_WPSOffice_Level1"/>
      <w:bookmarkStart w:id="81" w:name="_Toc16686_WPSOffice_Level1"/>
      <w:bookmarkStart w:id="82" w:name="_Toc28629_WPSOffice_Level1"/>
      <w:bookmarkStart w:id="83" w:name="_Toc27590_WPSOffice_Level1"/>
      <w:bookmarkStart w:id="84" w:name="_Toc3342"/>
      <w:bookmarkStart w:id="85" w:name="_Toc29683_WPSOffice_Level1"/>
      <w:r>
        <w:rPr>
          <w:rFonts w:hint="eastAsia" w:ascii="黑体" w:hAnsi="ˎ̥" w:eastAsia="黑体" w:cs="黑体"/>
          <w:sz w:val="32"/>
          <w:szCs w:val="32"/>
        </w:rPr>
        <w:t>第三部分</w:t>
      </w:r>
      <w:r>
        <w:rPr>
          <w:rFonts w:hint="eastAsia" w:ascii="黑体" w:hAnsi="ˎ̥" w:eastAsia="黑体" w:cs="黑体"/>
          <w:sz w:val="32"/>
          <w:szCs w:val="32"/>
          <w:lang w:val="en-US"/>
        </w:rPr>
        <w:t>万宁市北大镇禄马卫生院2021</w:t>
      </w:r>
      <w:r>
        <w:rPr>
          <w:rFonts w:hint="eastAsia" w:ascii="黑体" w:hAnsi="ˎ̥" w:eastAsia="黑体" w:cs="黑体"/>
          <w:sz w:val="32"/>
          <w:szCs w:val="32"/>
        </w:rPr>
        <w:t>年度部门决算情况说明</w:t>
      </w:r>
      <w:bookmarkEnd w:id="79"/>
      <w:bookmarkEnd w:id="80"/>
      <w:bookmarkEnd w:id="81"/>
      <w:bookmarkEnd w:id="82"/>
      <w:bookmarkEnd w:id="83"/>
      <w:bookmarkEnd w:id="84"/>
      <w:bookmarkEnd w:id="85"/>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黑体" w:hAnsi="宋体" w:eastAsia="黑体" w:cs="黑体"/>
          <w:bCs/>
          <w:sz w:val="32"/>
          <w:szCs w:val="32"/>
        </w:rPr>
        <w:t>一、收入支出决算总体情况说明</w:t>
      </w:r>
      <w:r>
        <w:rPr>
          <w:rFonts w:hint="eastAsia" w:ascii="黑体" w:hAnsi="宋体" w:eastAsia="黑体" w:cs="黑体"/>
          <w:bCs/>
          <w:sz w:val="32"/>
          <w:szCs w:val="32"/>
          <w:lang w:val="en-US"/>
        </w:rPr>
        <w:br w:type="textWrapping"/>
      </w:r>
      <w:r>
        <w:rPr>
          <w:rFonts w:ascii="楷体_GB2312" w:hAnsi="ˎ̥" w:eastAsia="楷体_GB2312" w:cs="楷体_GB2312"/>
          <w:sz w:val="32"/>
          <w:szCs w:val="32"/>
          <w:lang w:val="en-US"/>
        </w:rPr>
        <w:t xml:space="preserve">   </w:t>
      </w:r>
      <w:r>
        <w:rPr>
          <w:rFonts w:hint="default" w:ascii="楷体_GB2312" w:hAnsi="ˎ̥" w:eastAsia="楷体_GB2312" w:cs="楷体_GB2312"/>
          <w:sz w:val="32"/>
          <w:szCs w:val="32"/>
          <w:lang w:val="en-US"/>
        </w:rPr>
        <w:t xml:space="preserve"> </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年度收入总计</w:t>
      </w:r>
      <w:r>
        <w:rPr>
          <w:rFonts w:hint="default" w:ascii="仿宋_GB2312" w:eastAsia="仿宋_GB2312" w:cs="仿宋_GB2312"/>
          <w:sz w:val="32"/>
          <w:szCs w:val="32"/>
          <w:lang w:val="en-US"/>
        </w:rPr>
        <w:t>518.51</w:t>
      </w:r>
      <w:r>
        <w:rPr>
          <w:rFonts w:hint="default" w:ascii="仿宋_GB2312" w:hAnsi="ˎ̥" w:eastAsia="仿宋_GB2312" w:cs="仿宋_GB2312"/>
          <w:sz w:val="32"/>
          <w:szCs w:val="32"/>
        </w:rPr>
        <w:t>万元，支出总计</w:t>
      </w:r>
      <w:r>
        <w:rPr>
          <w:rFonts w:hint="default" w:ascii="仿宋_GB2312" w:eastAsia="仿宋_GB2312" w:cs="仿宋_GB2312"/>
          <w:sz w:val="32"/>
          <w:szCs w:val="32"/>
          <w:lang w:val="en-US"/>
        </w:rPr>
        <w:t>518.51</w:t>
      </w:r>
      <w:r>
        <w:rPr>
          <w:rFonts w:hint="default" w:ascii="仿宋_GB2312" w:hAnsi="ˎ̥" w:eastAsia="仿宋_GB2312" w:cs="仿宋_GB2312"/>
          <w:sz w:val="32"/>
          <w:szCs w:val="32"/>
        </w:rPr>
        <w:t>万元，与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年度相比，收入、支出总计各减少</w:t>
      </w:r>
      <w:r>
        <w:rPr>
          <w:rFonts w:hint="eastAsia" w:ascii="仿宋_GB2312" w:hAnsi="ˎ̥" w:eastAsia="仿宋_GB2312" w:cs="仿宋_GB2312"/>
          <w:sz w:val="32"/>
          <w:szCs w:val="32"/>
          <w:lang w:val="en-US" w:eastAsia="zh-CN"/>
        </w:rPr>
        <w:t>129.76</w:t>
      </w:r>
      <w:r>
        <w:rPr>
          <w:rFonts w:hint="default" w:ascii="仿宋_GB2312" w:hAnsi="ˎ̥" w:eastAsia="仿宋_GB2312" w:cs="仿宋_GB2312"/>
          <w:sz w:val="32"/>
          <w:szCs w:val="32"/>
        </w:rPr>
        <w:t>万元</w:t>
      </w:r>
      <w:r>
        <w:rPr>
          <w:rFonts w:hint="eastAsia" w:ascii="仿宋_GB2312" w:hAnsi="ˎ̥" w:eastAsia="仿宋_GB2312" w:cs="仿宋_GB2312"/>
          <w:sz w:val="32"/>
          <w:szCs w:val="32"/>
          <w:lang w:eastAsia="zh-CN"/>
        </w:rPr>
        <w:t>、</w:t>
      </w:r>
      <w:r>
        <w:rPr>
          <w:rFonts w:hint="eastAsia" w:ascii="仿宋_GB2312" w:hAnsi="ˎ̥" w:eastAsia="仿宋_GB2312" w:cs="仿宋_GB2312"/>
          <w:sz w:val="32"/>
          <w:szCs w:val="32"/>
          <w:lang w:val="en-US" w:eastAsia="zh-CN"/>
        </w:rPr>
        <w:t>减少7.96万元</w:t>
      </w:r>
      <w:r>
        <w:rPr>
          <w:rFonts w:hint="default" w:ascii="仿宋_GB2312" w:hAnsi="ˎ̥" w:eastAsia="仿宋_GB2312" w:cs="仿宋_GB2312"/>
          <w:sz w:val="32"/>
          <w:szCs w:val="32"/>
        </w:rPr>
        <w:t>，下降</w:t>
      </w:r>
      <w:r>
        <w:rPr>
          <w:rFonts w:hint="eastAsia" w:ascii="仿宋_GB2312" w:hAnsi="ˎ̥" w:eastAsia="仿宋_GB2312" w:cs="仿宋_GB2312"/>
          <w:sz w:val="32"/>
          <w:szCs w:val="32"/>
          <w:lang w:val="en-US" w:eastAsia="zh-CN"/>
        </w:rPr>
        <w:t>26.58</w:t>
      </w:r>
      <w:r>
        <w:rPr>
          <w:rFonts w:hint="default" w:ascii="仿宋_GB2312" w:hAnsi="ˎ̥" w:eastAsia="仿宋_GB2312" w:cs="仿宋_GB2312"/>
          <w:sz w:val="32"/>
          <w:szCs w:val="32"/>
          <w:lang w:val="en-US"/>
        </w:rPr>
        <w:t>%</w:t>
      </w:r>
      <w:r>
        <w:rPr>
          <w:rFonts w:hint="eastAsia" w:ascii="仿宋_GB2312" w:hAnsi="ˎ̥" w:eastAsia="仿宋_GB2312" w:cs="仿宋_GB2312"/>
          <w:sz w:val="32"/>
          <w:szCs w:val="32"/>
          <w:lang w:val="en-US" w:eastAsia="zh-CN"/>
        </w:rPr>
        <w:t>、下降1.93%</w:t>
      </w:r>
      <w:r>
        <w:rPr>
          <w:rFonts w:hint="default" w:ascii="仿宋_GB2312" w:hAnsi="ˎ̥" w:eastAsia="仿宋_GB2312" w:cs="仿宋_GB2312"/>
          <w:sz w:val="32"/>
          <w:szCs w:val="32"/>
        </w:rPr>
        <w:t>。主要原因：一是</w:t>
      </w:r>
      <w:r>
        <w:rPr>
          <w:rFonts w:hint="eastAsia" w:ascii="仿宋_GB2312" w:hAnsi="ˎ̥" w:eastAsia="仿宋_GB2312" w:cs="仿宋_GB2312"/>
          <w:sz w:val="32"/>
          <w:szCs w:val="32"/>
          <w:lang w:val="en-US" w:eastAsia="zh-CN"/>
        </w:rPr>
        <w:t>事业收入较上年减少</w:t>
      </w:r>
      <w:r>
        <w:rPr>
          <w:rFonts w:hint="default" w:ascii="仿宋_GB2312" w:hAnsi="ˎ̥" w:eastAsia="仿宋_GB2312" w:cs="仿宋_GB2312"/>
          <w:sz w:val="32"/>
          <w:szCs w:val="32"/>
        </w:rPr>
        <w:t>；二是</w:t>
      </w:r>
      <w:r>
        <w:rPr>
          <w:rFonts w:hint="eastAsia" w:ascii="仿宋_GB2312" w:hAnsi="ˎ̥" w:eastAsia="仿宋_GB2312" w:cs="仿宋_GB2312"/>
          <w:sz w:val="32"/>
          <w:szCs w:val="32"/>
          <w:lang w:val="en-US" w:eastAsia="zh-CN"/>
        </w:rPr>
        <w:t>卫生健康支出较上年减少</w:t>
      </w:r>
      <w:r>
        <w:rPr>
          <w:rFonts w:hint="default" w:ascii="仿宋_GB2312" w:hAnsi="ˎ̥" w:eastAsia="仿宋_GB2312" w:cs="仿宋_GB2312"/>
          <w:sz w:val="32"/>
          <w:szCs w:val="32"/>
        </w:rPr>
        <w:t>。使用非财政拨款结余</w:t>
      </w:r>
      <w:r>
        <w:rPr>
          <w:rFonts w:hint="default" w:ascii="仿宋_GB2312" w:eastAsia="仿宋_GB2312" w:cs="仿宋_GB2312"/>
          <w:sz w:val="32"/>
          <w:szCs w:val="32"/>
          <w:lang w:val="en-US"/>
        </w:rPr>
        <w:t>21.69</w:t>
      </w:r>
      <w:r>
        <w:rPr>
          <w:rFonts w:hint="default" w:ascii="仿宋_GB2312" w:hAnsi="ˎ̥" w:eastAsia="仿宋_GB2312" w:cs="仿宋_GB2312"/>
          <w:sz w:val="32"/>
          <w:szCs w:val="32"/>
        </w:rPr>
        <w:t>万元，较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年度决算数增加</w:t>
      </w:r>
      <w:r>
        <w:rPr>
          <w:rFonts w:hint="eastAsia" w:ascii="仿宋_GB2312" w:hAnsi="ˎ̥" w:eastAsia="仿宋_GB2312" w:cs="仿宋_GB2312"/>
          <w:sz w:val="32"/>
          <w:szCs w:val="32"/>
          <w:lang w:val="en-US" w:eastAsia="zh-CN"/>
        </w:rPr>
        <w:t>21.69</w:t>
      </w:r>
      <w:r>
        <w:rPr>
          <w:rFonts w:hint="default" w:ascii="仿宋_GB2312" w:hAnsi="ˎ̥" w:eastAsia="仿宋_GB2312" w:cs="仿宋_GB2312"/>
          <w:sz w:val="32"/>
          <w:szCs w:val="32"/>
        </w:rPr>
        <w:t>万元，主要原因</w:t>
      </w:r>
      <w:r>
        <w:rPr>
          <w:rFonts w:hint="eastAsia" w:ascii="仿宋_GB2312" w:hAnsi="ˎ̥" w:eastAsia="仿宋_GB2312" w:cs="仿宋_GB2312"/>
          <w:sz w:val="32"/>
          <w:szCs w:val="32"/>
          <w:lang w:val="en-US" w:eastAsia="zh-CN"/>
        </w:rPr>
        <w:t>是2021年乡镇卫生院（项）支出大于收入，使用非财政拨款结余弥补亏损</w:t>
      </w:r>
      <w:r>
        <w:rPr>
          <w:rFonts w:hint="default" w:ascii="仿宋_GB2312" w:hAnsi="ˎ̥" w:eastAsia="仿宋_GB2312" w:cs="仿宋_GB2312"/>
          <w:sz w:val="32"/>
          <w:szCs w:val="32"/>
        </w:rPr>
        <w:t>。年初结转结余</w:t>
      </w:r>
      <w:r>
        <w:rPr>
          <w:rFonts w:hint="default" w:ascii="仿宋_GB2312" w:eastAsia="仿宋_GB2312" w:cs="仿宋_GB2312"/>
          <w:sz w:val="32"/>
          <w:szCs w:val="32"/>
          <w:lang w:val="en-US"/>
        </w:rPr>
        <w:t>138.39</w:t>
      </w:r>
      <w:r>
        <w:rPr>
          <w:rFonts w:hint="default" w:ascii="仿宋_GB2312" w:hAnsi="ˎ̥" w:eastAsia="仿宋_GB2312" w:cs="仿宋_GB2312"/>
          <w:sz w:val="32"/>
          <w:szCs w:val="32"/>
        </w:rPr>
        <w:t>万元，主要是卫生健康（类）年初结转结余，较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年度决算数增加</w:t>
      </w:r>
      <w:r>
        <w:rPr>
          <w:rFonts w:hint="eastAsia" w:ascii="仿宋_GB2312" w:hAnsi="ˎ̥" w:eastAsia="仿宋_GB2312" w:cs="仿宋_GB2312"/>
          <w:sz w:val="32"/>
          <w:szCs w:val="32"/>
          <w:lang w:val="en-US" w:eastAsia="zh-CN"/>
        </w:rPr>
        <w:t>52.76</w:t>
      </w:r>
      <w:r>
        <w:rPr>
          <w:rFonts w:hint="default" w:ascii="仿宋_GB2312" w:hAnsi="ˎ̥" w:eastAsia="仿宋_GB2312" w:cs="仿宋_GB2312"/>
          <w:sz w:val="32"/>
          <w:szCs w:val="32"/>
        </w:rPr>
        <w:t>万元，增长</w:t>
      </w:r>
      <w:r>
        <w:rPr>
          <w:rFonts w:hint="eastAsia" w:ascii="仿宋_GB2312" w:hAnsi="ˎ̥" w:eastAsia="仿宋_GB2312" w:cs="仿宋_GB2312"/>
          <w:sz w:val="32"/>
          <w:szCs w:val="32"/>
          <w:lang w:val="en-US" w:eastAsia="zh-CN"/>
        </w:rPr>
        <w:t>61.61</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w:t>
      </w:r>
      <w:r>
        <w:rPr>
          <w:rFonts w:hint="eastAsia" w:ascii="仿宋_GB2312" w:hAnsi="ˎ̥" w:eastAsia="仿宋_GB2312" w:cs="仿宋_GB2312"/>
          <w:sz w:val="32"/>
          <w:szCs w:val="32"/>
          <w:lang w:val="en-US" w:eastAsia="zh-CN"/>
        </w:rPr>
        <w:t>2020年年末</w:t>
      </w:r>
      <w:r>
        <w:rPr>
          <w:rFonts w:hint="default" w:ascii="仿宋_GB2312" w:hAnsi="ˎ̥" w:eastAsia="仿宋_GB2312" w:cs="仿宋_GB2312"/>
          <w:sz w:val="32"/>
          <w:szCs w:val="32"/>
        </w:rPr>
        <w:t>卫生健康（类）支出减少结转结余增多。结余分配</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年度决算数减少</w:t>
      </w:r>
      <w:r>
        <w:rPr>
          <w:rFonts w:hint="eastAsia" w:ascii="仿宋_GB2312" w:hAnsi="ˎ̥" w:eastAsia="仿宋_GB2312" w:cs="仿宋_GB2312"/>
          <w:sz w:val="32"/>
          <w:szCs w:val="32"/>
          <w:lang w:val="en-US" w:eastAsia="zh-CN"/>
        </w:rPr>
        <w:t>21.92</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100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，主要原因是2021年乡镇卫生院（项）支出大于收入，使用非财政拨款结余弥补亏损</w:t>
      </w:r>
      <w:r>
        <w:rPr>
          <w:rFonts w:hint="eastAsia" w:ascii="仿宋_GB2312" w:hAnsi="ˎ̥" w:eastAsia="仿宋_GB2312" w:cs="仿宋_GB2312"/>
          <w:sz w:val="32"/>
          <w:szCs w:val="32"/>
          <w:lang w:eastAsia="zh-CN"/>
        </w:rPr>
        <w:t>，</w:t>
      </w:r>
      <w:r>
        <w:rPr>
          <w:rFonts w:hint="eastAsia" w:ascii="仿宋_GB2312" w:hAnsi="ˎ̥" w:eastAsia="仿宋_GB2312" w:cs="仿宋_GB2312"/>
          <w:sz w:val="32"/>
          <w:szCs w:val="32"/>
          <w:lang w:val="en-US" w:eastAsia="zh-CN"/>
        </w:rPr>
        <w:t>无结余分配</w:t>
      </w:r>
      <w:r>
        <w:rPr>
          <w:rFonts w:hint="default" w:ascii="仿宋_GB2312" w:hAnsi="ˎ̥" w:eastAsia="仿宋_GB2312" w:cs="仿宋_GB2312"/>
          <w:sz w:val="32"/>
          <w:szCs w:val="32"/>
        </w:rPr>
        <w:t>。年末结转结余</w:t>
      </w:r>
      <w:r>
        <w:rPr>
          <w:rFonts w:hint="default" w:ascii="仿宋_GB2312" w:eastAsia="仿宋_GB2312" w:cs="仿宋_GB2312"/>
          <w:sz w:val="32"/>
          <w:szCs w:val="32"/>
          <w:lang w:val="en-US"/>
        </w:rPr>
        <w:t>112.96</w:t>
      </w:r>
      <w:r>
        <w:rPr>
          <w:rFonts w:hint="default" w:ascii="仿宋_GB2312" w:hAnsi="ˎ̥" w:eastAsia="仿宋_GB2312" w:cs="仿宋_GB2312"/>
          <w:sz w:val="32"/>
          <w:szCs w:val="32"/>
        </w:rPr>
        <w:t>万元，主要是主要是卫生健康（类）年末结转结余，较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年度决算数减少</w:t>
      </w:r>
      <w:r>
        <w:rPr>
          <w:rFonts w:hint="eastAsia" w:ascii="仿宋_GB2312" w:hAnsi="ˎ̥" w:eastAsia="仿宋_GB2312" w:cs="仿宋_GB2312"/>
          <w:sz w:val="32"/>
          <w:szCs w:val="32"/>
          <w:lang w:val="en-US" w:eastAsia="zh-CN"/>
        </w:rPr>
        <w:t>25.43</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18.38</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，主要原因是专项资金拨款减少支出增多，年末结转结余较上年减少。</w:t>
      </w:r>
    </w:p>
    <w:p>
      <w:pPr>
        <w:keepNext w:val="0"/>
        <w:keepLines w:val="0"/>
        <w:widowControl/>
        <w:suppressLineNumbers w:val="0"/>
        <w:spacing w:before="0" w:beforeAutospacing="1" w:after="0" w:afterAutospacing="1"/>
        <w:ind w:left="0" w:right="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 xml:space="preserve">   </w:t>
      </w:r>
      <w:r>
        <w:rPr>
          <w:rFonts w:hint="default" w:ascii="仿宋_GB2312" w:hAnsi="ˎ̥" w:eastAsia="仿宋_GB2312" w:cs="仿宋_GB2312"/>
          <w:sz w:val="32"/>
          <w:szCs w:val="32"/>
        </w:rPr>
        <w:t>（</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年度相关决算数据，可取自附件财决公开</w:t>
      </w:r>
      <w:r>
        <w:rPr>
          <w:rFonts w:hint="default" w:ascii="仿宋_GB2312" w:hAnsi="ˎ̥" w:eastAsia="仿宋_GB2312" w:cs="仿宋_GB2312"/>
          <w:sz w:val="32"/>
          <w:szCs w:val="32"/>
          <w:lang w:val="en-US"/>
        </w:rPr>
        <w:t>01</w:t>
      </w:r>
      <w:r>
        <w:rPr>
          <w:rFonts w:hint="default" w:ascii="仿宋_GB2312" w:hAnsi="ˎ̥" w:eastAsia="仿宋_GB2312" w:cs="仿宋_GB2312"/>
          <w:sz w:val="32"/>
          <w:szCs w:val="32"/>
        </w:rPr>
        <w:t>表；</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年度相关决算数据可取自</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年度部门决算报表财决</w:t>
      </w:r>
      <w:r>
        <w:rPr>
          <w:rFonts w:hint="default" w:ascii="仿宋_GB2312" w:hAnsi="ˎ̥" w:eastAsia="仿宋_GB2312" w:cs="仿宋_GB2312"/>
          <w:sz w:val="32"/>
          <w:szCs w:val="32"/>
          <w:lang w:val="en-US"/>
        </w:rPr>
        <w:t>01</w:t>
      </w:r>
      <w:r>
        <w:rPr>
          <w:rFonts w:hint="default" w:ascii="仿宋_GB2312" w:hAnsi="ˎ̥" w:eastAsia="仿宋_GB2312" w:cs="仿宋_GB2312"/>
          <w:sz w:val="32"/>
          <w:szCs w:val="32"/>
        </w:rPr>
        <w:t>表《收入支出决算总表》。）</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黑体" w:hAnsi="宋体" w:eastAsia="黑体" w:cs="黑体"/>
          <w:bCs/>
          <w:sz w:val="32"/>
          <w:szCs w:val="32"/>
        </w:rPr>
        <w:t>二、收入决算情况说明</w:t>
      </w:r>
      <w:r>
        <w:rPr>
          <w:rFonts w:hint="eastAsia" w:ascii="黑体" w:hAnsi="宋体" w:eastAsia="黑体" w:cs="黑体"/>
          <w:bCs/>
          <w:sz w:val="32"/>
          <w:szCs w:val="32"/>
          <w:lang w:val="en-US"/>
        </w:rPr>
        <w:br w:type="textWrapping"/>
      </w:r>
      <w:r>
        <w:rPr>
          <w:rFonts w:hint="default" w:ascii="仿宋_GB2312" w:hAnsi="ˎ̥" w:eastAsia="仿宋_GB2312" w:cs="仿宋_GB2312"/>
          <w:sz w:val="32"/>
          <w:szCs w:val="32"/>
          <w:lang w:val="en-US"/>
        </w:rPr>
        <w:t xml:space="preserve">    </w:t>
      </w:r>
      <w:r>
        <w:rPr>
          <w:rFonts w:hint="default" w:ascii="仿宋_GB2312" w:hAnsi="ˎ̥" w:eastAsia="仿宋_GB2312" w:cs="仿宋_GB2312"/>
          <w:sz w:val="32"/>
          <w:szCs w:val="32"/>
        </w:rPr>
        <w:t>本年收入合计</w:t>
      </w:r>
      <w:r>
        <w:rPr>
          <w:rFonts w:hint="default" w:ascii="仿宋_GB2312" w:eastAsia="仿宋_GB2312" w:cs="仿宋_GB2312"/>
          <w:sz w:val="32"/>
          <w:szCs w:val="32"/>
          <w:lang w:val="en-US"/>
        </w:rPr>
        <w:t>358.42</w:t>
      </w:r>
      <w:r>
        <w:rPr>
          <w:rFonts w:hint="default" w:ascii="仿宋_GB2312" w:hAnsi="ˎ̥" w:eastAsia="仿宋_GB2312" w:cs="仿宋_GB2312"/>
          <w:sz w:val="32"/>
          <w:szCs w:val="32"/>
        </w:rPr>
        <w:t>万元，其中：财政拨款收入</w:t>
      </w:r>
      <w:r>
        <w:rPr>
          <w:rFonts w:hint="default" w:ascii="仿宋_GB2312" w:eastAsia="仿宋_GB2312" w:cs="仿宋_GB2312"/>
          <w:sz w:val="32"/>
          <w:szCs w:val="32"/>
          <w:lang w:val="en-US"/>
        </w:rPr>
        <w:t>215.53</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60.13</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；上级补助收入</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；事业收入</w:t>
      </w:r>
      <w:r>
        <w:rPr>
          <w:rFonts w:hint="default" w:ascii="仿宋_GB2312" w:eastAsia="仿宋_GB2312" w:cs="仿宋_GB2312"/>
          <w:sz w:val="32"/>
          <w:szCs w:val="32"/>
          <w:lang w:val="en-US"/>
        </w:rPr>
        <w:t>82.83</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23.11</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；经营收入</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；附属单位上缴收入</w:t>
      </w:r>
      <w:r>
        <w:rPr>
          <w:rFonts w:hint="default" w:ascii="仿宋_GB2312"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；其他收入</w:t>
      </w:r>
      <w:r>
        <w:rPr>
          <w:rFonts w:hint="default" w:ascii="仿宋_GB2312" w:eastAsia="仿宋_GB2312" w:cs="仿宋_GB2312"/>
          <w:sz w:val="32"/>
          <w:szCs w:val="32"/>
          <w:lang w:val="en-US"/>
        </w:rPr>
        <w:t>60.07</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16.76</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470" w:leftChars="196" w:right="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 xml:space="preserve">  </w:t>
      </w:r>
      <w:r>
        <w:rPr>
          <w:rFonts w:hint="default" w:ascii="仿宋_GB2312" w:hAnsi="ˎ̥" w:eastAsia="仿宋_GB2312" w:cs="仿宋_GB2312"/>
          <w:sz w:val="32"/>
          <w:szCs w:val="32"/>
        </w:rPr>
        <w:t>（上述各项收入数字可取自财决公开</w:t>
      </w:r>
      <w:r>
        <w:rPr>
          <w:rFonts w:hint="default" w:ascii="仿宋_GB2312" w:hAnsi="ˎ̥" w:eastAsia="仿宋_GB2312" w:cs="仿宋_GB2312"/>
          <w:sz w:val="32"/>
          <w:szCs w:val="32"/>
          <w:lang w:val="en-US"/>
        </w:rPr>
        <w:t>02</w:t>
      </w:r>
      <w:r>
        <w:rPr>
          <w:rFonts w:hint="default" w:ascii="仿宋_GB2312" w:hAnsi="ˎ̥" w:eastAsia="仿宋_GB2312" w:cs="仿宋_GB2312"/>
          <w:sz w:val="32"/>
          <w:szCs w:val="32"/>
        </w:rPr>
        <w:t>表）</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86" w:name="_Toc2479"/>
      <w:r>
        <w:rPr>
          <w:rFonts w:hint="eastAsia" w:ascii="黑体" w:hAnsi="宋体" w:eastAsia="黑体" w:cs="黑体"/>
          <w:bCs/>
          <w:sz w:val="32"/>
          <w:szCs w:val="32"/>
        </w:rPr>
        <w:t>三、支出决算情况说明</w:t>
      </w:r>
      <w:bookmarkEnd w:id="86"/>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本年支出合计</w:t>
      </w:r>
      <w:r>
        <w:rPr>
          <w:rFonts w:hint="default" w:ascii="仿宋_GB2312" w:hAnsi="ˎ̥" w:eastAsia="仿宋_GB2312" w:cs="仿宋_GB2312"/>
          <w:sz w:val="32"/>
          <w:szCs w:val="32"/>
          <w:lang w:val="en-US"/>
        </w:rPr>
        <w:t>405.54</w:t>
      </w:r>
      <w:r>
        <w:rPr>
          <w:rFonts w:hint="default" w:ascii="仿宋_GB2312" w:hAnsi="ˎ̥" w:eastAsia="仿宋_GB2312" w:cs="仿宋_GB2312"/>
          <w:sz w:val="32"/>
          <w:szCs w:val="32"/>
        </w:rPr>
        <w:t>万元，其中：基本支出</w:t>
      </w:r>
      <w:r>
        <w:rPr>
          <w:rFonts w:hint="default" w:ascii="仿宋_GB2312" w:hAnsi="ˎ̥" w:eastAsia="仿宋_GB2312" w:cs="仿宋_GB2312"/>
          <w:sz w:val="32"/>
          <w:szCs w:val="32"/>
          <w:lang w:val="en-US"/>
        </w:rPr>
        <w:t>246.19</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60.71</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；项目支出</w:t>
      </w:r>
      <w:r>
        <w:rPr>
          <w:rFonts w:hint="default" w:ascii="仿宋_GB2312" w:hAnsi="ˎ̥" w:eastAsia="仿宋_GB2312" w:cs="仿宋_GB2312"/>
          <w:sz w:val="32"/>
          <w:szCs w:val="32"/>
          <w:lang w:val="en-US"/>
        </w:rPr>
        <w:t>159.35</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39.29</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；上缴上级支出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；经营支出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；对附属单位补助支出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（上述各项支出数字可取自财决公开</w:t>
      </w:r>
      <w:r>
        <w:rPr>
          <w:rFonts w:hint="default" w:ascii="仿宋_GB2312" w:hAnsi="ˎ̥" w:eastAsia="仿宋_GB2312" w:cs="仿宋_GB2312"/>
          <w:sz w:val="32"/>
          <w:szCs w:val="32"/>
          <w:lang w:val="en-US"/>
        </w:rPr>
        <w:t>03</w:t>
      </w:r>
      <w:r>
        <w:rPr>
          <w:rFonts w:hint="default" w:ascii="仿宋_GB2312" w:hAnsi="ˎ̥" w:eastAsia="仿宋_GB2312" w:cs="仿宋_GB2312"/>
          <w:sz w:val="32"/>
          <w:szCs w:val="32"/>
        </w:rPr>
        <w:t>表）</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87" w:name="_Toc14912"/>
      <w:r>
        <w:rPr>
          <w:rFonts w:hint="eastAsia" w:ascii="黑体" w:hAnsi="宋体" w:eastAsia="黑体" w:cs="黑体"/>
          <w:bCs/>
          <w:sz w:val="32"/>
          <w:szCs w:val="32"/>
        </w:rPr>
        <w:t>四、财政拨款收入支出决算总体情况说明</w:t>
      </w:r>
      <w:bookmarkEnd w:id="87"/>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年度财政拨款收入总计</w:t>
      </w:r>
      <w:r>
        <w:rPr>
          <w:rFonts w:hint="default" w:ascii="仿宋_GB2312" w:hAnsi="ˎ̥" w:eastAsia="仿宋_GB2312" w:cs="仿宋_GB2312"/>
          <w:sz w:val="32"/>
          <w:szCs w:val="32"/>
          <w:lang w:val="en-US"/>
        </w:rPr>
        <w:t>215.53</w:t>
      </w:r>
      <w:r>
        <w:rPr>
          <w:rFonts w:hint="default" w:ascii="仿宋_GB2312" w:hAnsi="ˎ̥" w:eastAsia="仿宋_GB2312" w:cs="仿宋_GB2312"/>
          <w:sz w:val="32"/>
          <w:szCs w:val="32"/>
        </w:rPr>
        <w:t>万元，支出总计</w:t>
      </w:r>
      <w:r>
        <w:rPr>
          <w:rFonts w:hint="default" w:ascii="仿宋_GB2312" w:hAnsi="ˎ̥" w:eastAsia="仿宋_GB2312" w:cs="仿宋_GB2312"/>
          <w:sz w:val="32"/>
          <w:szCs w:val="32"/>
          <w:lang w:val="en-US"/>
        </w:rPr>
        <w:t>215.53</w:t>
      </w:r>
      <w:r>
        <w:rPr>
          <w:rFonts w:hint="default" w:ascii="仿宋_GB2312" w:hAnsi="ˎ̥" w:eastAsia="仿宋_GB2312" w:cs="仿宋_GB2312"/>
          <w:sz w:val="32"/>
          <w:szCs w:val="32"/>
        </w:rPr>
        <w:t>万元。与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年度相比，财政拨款收入、支出总计各增加</w:t>
      </w:r>
      <w:r>
        <w:rPr>
          <w:rFonts w:hint="eastAsia" w:ascii="仿宋_GB2312" w:hAnsi="ˎ̥" w:eastAsia="仿宋_GB2312" w:cs="仿宋_GB2312"/>
          <w:sz w:val="32"/>
          <w:szCs w:val="32"/>
          <w:lang w:val="en-US" w:eastAsia="zh-CN"/>
        </w:rPr>
        <w:t>76.65</w:t>
      </w:r>
      <w:r>
        <w:rPr>
          <w:rFonts w:hint="default" w:ascii="仿宋_GB2312" w:hAnsi="ˎ̥" w:eastAsia="仿宋_GB2312" w:cs="仿宋_GB2312"/>
          <w:sz w:val="32"/>
          <w:szCs w:val="32"/>
        </w:rPr>
        <w:t>万元</w:t>
      </w:r>
      <w:r>
        <w:rPr>
          <w:rFonts w:hint="eastAsia" w:ascii="仿宋_GB2312" w:hAnsi="ˎ̥" w:eastAsia="仿宋_GB2312" w:cs="仿宋_GB2312"/>
          <w:sz w:val="32"/>
          <w:szCs w:val="32"/>
          <w:lang w:eastAsia="zh-CN"/>
        </w:rPr>
        <w:t>、</w:t>
      </w:r>
      <w:r>
        <w:rPr>
          <w:rFonts w:hint="eastAsia" w:ascii="仿宋_GB2312" w:hAnsi="ˎ̥" w:eastAsia="仿宋_GB2312" w:cs="仿宋_GB2312"/>
          <w:sz w:val="32"/>
          <w:szCs w:val="32"/>
          <w:lang w:val="en-US" w:eastAsia="zh-CN"/>
        </w:rPr>
        <w:t>增加71.42万元</w:t>
      </w:r>
      <w:r>
        <w:rPr>
          <w:rFonts w:hint="default" w:ascii="仿宋_GB2312" w:hAnsi="ˎ̥" w:eastAsia="仿宋_GB2312" w:cs="仿宋_GB2312"/>
          <w:sz w:val="32"/>
          <w:szCs w:val="32"/>
        </w:rPr>
        <w:t>，增长</w:t>
      </w:r>
      <w:r>
        <w:rPr>
          <w:rFonts w:hint="eastAsia" w:ascii="仿宋_GB2312" w:hAnsi="ˎ̥" w:eastAsia="仿宋_GB2312" w:cs="仿宋_GB2312"/>
          <w:sz w:val="32"/>
          <w:szCs w:val="32"/>
          <w:lang w:val="en-US" w:eastAsia="zh-CN"/>
        </w:rPr>
        <w:t>55.19</w:t>
      </w:r>
      <w:r>
        <w:rPr>
          <w:rFonts w:hint="default" w:ascii="仿宋_GB2312" w:hAnsi="ˎ̥" w:eastAsia="仿宋_GB2312" w:cs="仿宋_GB2312"/>
          <w:sz w:val="32"/>
          <w:szCs w:val="32"/>
          <w:lang w:val="en-US"/>
        </w:rPr>
        <w:t>%</w:t>
      </w:r>
      <w:r>
        <w:rPr>
          <w:rFonts w:hint="eastAsia" w:ascii="仿宋_GB2312" w:hAnsi="ˎ̥" w:eastAsia="仿宋_GB2312" w:cs="仿宋_GB2312"/>
          <w:sz w:val="32"/>
          <w:szCs w:val="32"/>
          <w:lang w:val="en-US" w:eastAsia="zh-CN"/>
        </w:rPr>
        <w:t>、增长49.56%</w:t>
      </w:r>
      <w:r>
        <w:rPr>
          <w:rFonts w:hint="default" w:ascii="仿宋_GB2312" w:hAnsi="ˎ̥" w:eastAsia="仿宋_GB2312" w:cs="仿宋_GB2312"/>
          <w:sz w:val="32"/>
          <w:szCs w:val="32"/>
        </w:rPr>
        <w:t>。主要原因：一是一般公共预算财政拨款收入较上年增长；二是卫生健康支出较上年增长。</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财政拨款年初结转结余</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年度决算数减少</w:t>
      </w:r>
      <w:r>
        <w:rPr>
          <w:rFonts w:hint="eastAsia" w:ascii="仿宋_GB2312" w:hAnsi="ˎ̥" w:eastAsia="仿宋_GB2312" w:cs="仿宋_GB2312"/>
          <w:sz w:val="32"/>
          <w:szCs w:val="32"/>
          <w:lang w:val="en-US" w:eastAsia="zh-CN"/>
        </w:rPr>
        <w:t>5.23</w:t>
      </w:r>
      <w:r>
        <w:rPr>
          <w:rFonts w:hint="default" w:ascii="仿宋_GB2312" w:hAnsi="ˎ̥" w:eastAsia="仿宋_GB2312" w:cs="仿宋_GB2312"/>
          <w:sz w:val="32"/>
          <w:szCs w:val="32"/>
        </w:rPr>
        <w:t>万元，下降</w:t>
      </w:r>
      <w:r>
        <w:rPr>
          <w:rFonts w:hint="eastAsia" w:ascii="仿宋_GB2312" w:hAnsi="ˎ̥" w:eastAsia="仿宋_GB2312" w:cs="仿宋_GB2312"/>
          <w:sz w:val="32"/>
          <w:szCs w:val="32"/>
          <w:lang w:val="en-US" w:eastAsia="zh-CN"/>
        </w:rPr>
        <w:t>100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w:t>
      </w:r>
      <w:r>
        <w:rPr>
          <w:rFonts w:hint="eastAsia" w:ascii="仿宋_GB2312" w:hAnsi="ˎ̥" w:eastAsia="仿宋_GB2312" w:cs="仿宋_GB2312"/>
          <w:sz w:val="32"/>
          <w:szCs w:val="32"/>
          <w:lang w:val="en-US" w:eastAsia="zh-CN"/>
        </w:rPr>
        <w:t>2020年年末财政拨款无结转结余，2021年年初财政年初结转结余较上年减少</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rPr>
      </w:pPr>
      <w:r>
        <w:rPr>
          <w:rFonts w:hint="default" w:ascii="仿宋_GB2312" w:hAnsi="ˎ̥" w:eastAsia="仿宋_GB2312" w:cs="仿宋_GB2312"/>
          <w:sz w:val="32"/>
          <w:szCs w:val="32"/>
        </w:rPr>
        <w:t>财政拨款年末结转结余</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万元，主</w:t>
      </w:r>
      <w:r>
        <w:rPr>
          <w:rFonts w:hint="eastAsia" w:ascii="仿宋_GB2312" w:hAnsi="ˎ̥" w:eastAsia="仿宋_GB2312" w:cs="仿宋_GB2312"/>
          <w:sz w:val="32"/>
          <w:szCs w:val="32"/>
          <w:lang w:val="en-US" w:eastAsia="zh-CN"/>
        </w:rPr>
        <w:t>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年度年末决算数</w:t>
      </w:r>
      <w:r>
        <w:rPr>
          <w:rFonts w:hint="eastAsia" w:ascii="仿宋_GB2312" w:hAnsi="ˎ̥" w:eastAsia="仿宋_GB2312" w:cs="仿宋_GB2312"/>
          <w:sz w:val="32"/>
          <w:szCs w:val="32"/>
          <w:lang w:val="en-US" w:eastAsia="zh-CN"/>
        </w:rPr>
        <w:t>一致</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年度决算相关数据取自财决公开</w:t>
      </w:r>
      <w:r>
        <w:rPr>
          <w:rFonts w:hint="default" w:ascii="仿宋_GB2312" w:hAnsi="ˎ̥" w:eastAsia="仿宋_GB2312" w:cs="仿宋_GB2312"/>
          <w:sz w:val="32"/>
          <w:szCs w:val="32"/>
          <w:lang w:val="en-US"/>
        </w:rPr>
        <w:t>04</w:t>
      </w:r>
      <w:r>
        <w:rPr>
          <w:rFonts w:hint="default" w:ascii="仿宋_GB2312" w:hAnsi="ˎ̥" w:eastAsia="仿宋_GB2312" w:cs="仿宋_GB2312"/>
          <w:sz w:val="32"/>
          <w:szCs w:val="32"/>
        </w:rPr>
        <w:t>表。</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年度决算相关数据可取自</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年度部门决算报表财决</w:t>
      </w:r>
      <w:r>
        <w:rPr>
          <w:rFonts w:hint="default" w:ascii="仿宋_GB2312" w:hAnsi="ˎ̥" w:eastAsia="仿宋_GB2312" w:cs="仿宋_GB2312"/>
          <w:sz w:val="32"/>
          <w:szCs w:val="32"/>
          <w:lang w:val="en-US"/>
        </w:rPr>
        <w:t>01-1</w:t>
      </w:r>
      <w:r>
        <w:rPr>
          <w:rFonts w:hint="default" w:ascii="仿宋_GB2312" w:hAnsi="ˎ̥" w:eastAsia="仿宋_GB2312" w:cs="仿宋_GB2312"/>
          <w:sz w:val="32"/>
          <w:szCs w:val="32"/>
        </w:rPr>
        <w:t>表《财政拨款收入支出决算总表》。）</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88" w:name="_Toc13348"/>
      <w:r>
        <w:rPr>
          <w:rFonts w:hint="eastAsia" w:ascii="黑体" w:hAnsi="宋体" w:eastAsia="黑体" w:cs="黑体"/>
          <w:bCs/>
          <w:sz w:val="32"/>
          <w:szCs w:val="32"/>
        </w:rPr>
        <w:t>五、一般公共预算财政拨款支出决算情况说明</w:t>
      </w:r>
      <w:bookmarkEnd w:id="88"/>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bookmarkStart w:id="89" w:name="_Toc17398_WPSOffice_Level2"/>
      <w:bookmarkStart w:id="90" w:name="_Toc13694_WPSOffice_Level2"/>
      <w:bookmarkStart w:id="91" w:name="_Toc21737_WPSOffice_Level2"/>
      <w:bookmarkStart w:id="92" w:name="_Toc9989_WPSOffice_Level2"/>
      <w:bookmarkStart w:id="93" w:name="_Toc23005_WPSOffice_Level2"/>
      <w:bookmarkStart w:id="94" w:name="_Toc19665_WPSOffice_Level2"/>
      <w:r>
        <w:rPr>
          <w:rFonts w:hint="default" w:ascii="仿宋_GB2312" w:hAnsi="ˎ̥" w:eastAsia="仿宋_GB2312" w:cs="仿宋_GB2312"/>
          <w:sz w:val="32"/>
          <w:szCs w:val="32"/>
        </w:rPr>
        <w:t>（一）一般公共预算财政拨款支出决算总体情况</w:t>
      </w:r>
      <w:bookmarkEnd w:id="89"/>
      <w:bookmarkEnd w:id="90"/>
      <w:r>
        <w:rPr>
          <w:rFonts w:hint="default" w:ascii="仿宋_GB2312" w:hAnsi="ˎ̥" w:eastAsia="仿宋_GB2312" w:cs="仿宋_GB2312"/>
          <w:sz w:val="32"/>
          <w:szCs w:val="32"/>
        </w:rPr>
        <w:t>。</w:t>
      </w:r>
      <w:bookmarkEnd w:id="91"/>
      <w:bookmarkEnd w:id="92"/>
      <w:bookmarkEnd w:id="93"/>
      <w:bookmarkEnd w:id="94"/>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年度一般公共预算财政拨款支出</w:t>
      </w:r>
      <w:r>
        <w:rPr>
          <w:rFonts w:hint="default" w:ascii="仿宋_GB2312" w:hAnsi="ˎ̥" w:eastAsia="仿宋_GB2312" w:cs="仿宋_GB2312"/>
          <w:sz w:val="32"/>
          <w:szCs w:val="32"/>
          <w:lang w:val="en-US"/>
        </w:rPr>
        <w:t>215.53</w:t>
      </w:r>
      <w:r>
        <w:rPr>
          <w:rFonts w:hint="default" w:ascii="仿宋_GB2312" w:hAnsi="ˎ̥" w:eastAsia="仿宋_GB2312" w:cs="仿宋_GB2312"/>
          <w:sz w:val="32"/>
          <w:szCs w:val="32"/>
        </w:rPr>
        <w:t>万元，占本年支出合计的</w:t>
      </w:r>
      <w:r>
        <w:rPr>
          <w:rFonts w:hint="eastAsia" w:ascii="仿宋_GB2312" w:hAnsi="ˎ̥" w:eastAsia="仿宋_GB2312" w:cs="仿宋_GB2312"/>
          <w:sz w:val="32"/>
          <w:szCs w:val="32"/>
          <w:lang w:val="en-US" w:eastAsia="zh-CN"/>
        </w:rPr>
        <w:t>53.15</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年度相比，一般公共预算财政拨款支出增加71.42万元，增长49.56%。主要原因一是一般公共预算财政拨款收入较上年增长；二是卫生健康支出较上年增长。</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bookmarkStart w:id="95" w:name="_Toc2711_WPSOffice_Level2"/>
      <w:bookmarkStart w:id="96" w:name="_Toc18793_WPSOffice_Level2"/>
      <w:bookmarkStart w:id="97" w:name="_Toc23864_WPSOffice_Level2"/>
      <w:bookmarkStart w:id="98" w:name="_Toc19075_WPSOffice_Level2"/>
      <w:bookmarkStart w:id="99" w:name="_Toc19535_WPSOffice_Level2"/>
      <w:bookmarkStart w:id="100" w:name="_Toc27767_WPSOffice_Level2"/>
      <w:r>
        <w:rPr>
          <w:rFonts w:hint="default" w:ascii="仿宋_GB2312" w:hAnsi="ˎ̥" w:eastAsia="仿宋_GB2312" w:cs="仿宋_GB2312"/>
          <w:sz w:val="32"/>
          <w:szCs w:val="32"/>
        </w:rPr>
        <w:t>（二）一般公共预算财政拨款支出决算结构情况</w:t>
      </w:r>
      <w:bookmarkEnd w:id="95"/>
      <w:bookmarkEnd w:id="96"/>
      <w:r>
        <w:rPr>
          <w:rFonts w:hint="default" w:ascii="仿宋_GB2312" w:hAnsi="ˎ̥" w:eastAsia="仿宋_GB2312" w:cs="仿宋_GB2312"/>
          <w:sz w:val="32"/>
          <w:szCs w:val="32"/>
        </w:rPr>
        <w:t>。</w:t>
      </w:r>
      <w:bookmarkEnd w:id="97"/>
      <w:bookmarkEnd w:id="98"/>
      <w:bookmarkEnd w:id="99"/>
      <w:bookmarkEnd w:id="100"/>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年度一般公共预算财政拨款支出</w:t>
      </w:r>
      <w:r>
        <w:rPr>
          <w:rFonts w:hint="default" w:ascii="仿宋_GB2312" w:hAnsi="ˎ̥" w:eastAsia="仿宋_GB2312" w:cs="仿宋_GB2312"/>
          <w:sz w:val="32"/>
          <w:szCs w:val="32"/>
          <w:lang w:val="en-US"/>
        </w:rPr>
        <w:t>215.53</w:t>
      </w:r>
      <w:r>
        <w:rPr>
          <w:rFonts w:hint="default" w:ascii="仿宋_GB2312" w:hAnsi="ˎ̥" w:eastAsia="仿宋_GB2312" w:cs="仿宋_GB2312"/>
          <w:sz w:val="32"/>
          <w:szCs w:val="32"/>
        </w:rPr>
        <w:t>万元，主要用于以下方面：社会保障和就业（类）支出</w:t>
      </w:r>
      <w:r>
        <w:rPr>
          <w:rFonts w:hint="eastAsia" w:ascii="仿宋_GB2312" w:hAnsi="ˎ̥" w:eastAsia="仿宋_GB2312" w:cs="仿宋_GB2312"/>
          <w:sz w:val="32"/>
          <w:szCs w:val="32"/>
          <w:lang w:val="en-US" w:eastAsia="zh-CN"/>
        </w:rPr>
        <w:t>13.86</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6.43</w:t>
      </w:r>
      <w:r>
        <w:rPr>
          <w:rFonts w:hint="default" w:ascii="仿宋_GB2312" w:hAnsi="ˎ̥" w:eastAsia="仿宋_GB2312" w:cs="仿宋_GB2312"/>
          <w:sz w:val="32"/>
          <w:szCs w:val="32"/>
        </w:rPr>
        <w:t>%；卫生健康（类）支出</w:t>
      </w:r>
      <w:r>
        <w:rPr>
          <w:rFonts w:hint="eastAsia" w:ascii="仿宋_GB2312" w:hAnsi="ˎ̥" w:eastAsia="仿宋_GB2312" w:cs="仿宋_GB2312"/>
          <w:sz w:val="32"/>
          <w:szCs w:val="32"/>
          <w:lang w:val="en-US" w:eastAsia="zh-CN"/>
        </w:rPr>
        <w:t>194.35</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90.17</w:t>
      </w:r>
      <w:r>
        <w:rPr>
          <w:rFonts w:hint="default" w:ascii="仿宋_GB2312" w:hAnsi="ˎ̥" w:eastAsia="仿宋_GB2312" w:cs="仿宋_GB2312"/>
          <w:sz w:val="32"/>
          <w:szCs w:val="32"/>
        </w:rPr>
        <w:t>%；住房保障（类）支出</w:t>
      </w:r>
      <w:r>
        <w:rPr>
          <w:rFonts w:hint="eastAsia" w:ascii="仿宋_GB2312" w:hAnsi="ˎ̥" w:eastAsia="仿宋_GB2312" w:cs="仿宋_GB2312"/>
          <w:sz w:val="32"/>
          <w:szCs w:val="32"/>
          <w:lang w:val="en-US" w:eastAsia="zh-CN"/>
        </w:rPr>
        <w:t>7.31</w:t>
      </w:r>
      <w:r>
        <w:rPr>
          <w:rFonts w:hint="default" w:ascii="仿宋_GB2312" w:hAnsi="ˎ̥" w:eastAsia="仿宋_GB2312" w:cs="仿宋_GB2312"/>
          <w:sz w:val="32"/>
          <w:szCs w:val="32"/>
        </w:rPr>
        <w:t>万元，占3.</w:t>
      </w:r>
      <w:r>
        <w:rPr>
          <w:rFonts w:hint="eastAsia" w:ascii="仿宋_GB2312" w:hAnsi="ˎ̥" w:eastAsia="仿宋_GB2312" w:cs="仿宋_GB2312"/>
          <w:sz w:val="32"/>
          <w:szCs w:val="32"/>
          <w:lang w:val="en-US" w:eastAsia="zh-CN"/>
        </w:rPr>
        <w:t>39</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（根据各部门（单位）实际支出涉及的支出功能分类类级科目填列）</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bookmarkStart w:id="101" w:name="_Toc22318_WPSOffice_Level2"/>
      <w:bookmarkStart w:id="102" w:name="_Toc25136_WPSOffice_Level2"/>
      <w:bookmarkStart w:id="103" w:name="_Toc15415_WPSOffice_Level2"/>
      <w:bookmarkStart w:id="104" w:name="_Toc29364_WPSOffice_Level2"/>
      <w:bookmarkStart w:id="105" w:name="_Toc9502_WPSOffice_Level2"/>
      <w:bookmarkStart w:id="106" w:name="_Toc21701_WPSOffice_Level2"/>
      <w:r>
        <w:rPr>
          <w:rFonts w:hint="default" w:ascii="仿宋_GB2312" w:hAnsi="ˎ̥" w:eastAsia="仿宋_GB2312" w:cs="仿宋_GB2312"/>
          <w:sz w:val="32"/>
          <w:szCs w:val="32"/>
        </w:rPr>
        <w:t>（三）一般公共预算财政拨款支出决算具体情况。</w:t>
      </w:r>
      <w:bookmarkEnd w:id="101"/>
      <w:bookmarkEnd w:id="102"/>
      <w:bookmarkEnd w:id="103"/>
      <w:bookmarkEnd w:id="104"/>
      <w:bookmarkEnd w:id="105"/>
      <w:bookmarkEnd w:id="106"/>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年度一般公共预算财政拨款支出年初预算为</w:t>
      </w:r>
      <w:r>
        <w:rPr>
          <w:rFonts w:hint="eastAsia" w:ascii="仿宋_GB2312" w:hAnsi="ˎ̥" w:eastAsia="仿宋_GB2312" w:cs="仿宋_GB2312"/>
          <w:sz w:val="32"/>
          <w:szCs w:val="32"/>
          <w:lang w:val="en-US" w:eastAsia="zh-CN"/>
        </w:rPr>
        <w:t>138.90</w:t>
      </w:r>
      <w:r>
        <w:rPr>
          <w:rFonts w:hint="default" w:ascii="仿宋_GB2312" w:hAnsi="ˎ̥" w:eastAsia="仿宋_GB2312" w:cs="仿宋_GB2312"/>
          <w:sz w:val="32"/>
          <w:szCs w:val="32"/>
        </w:rPr>
        <w:t>万元，支出决算为</w:t>
      </w:r>
      <w:r>
        <w:rPr>
          <w:rFonts w:hint="default" w:ascii="仿宋_GB2312" w:hAnsi="ˎ̥" w:eastAsia="仿宋_GB2312" w:cs="仿宋_GB2312"/>
          <w:sz w:val="32"/>
          <w:szCs w:val="32"/>
          <w:lang w:val="en-US"/>
        </w:rPr>
        <w:t>215.53</w:t>
      </w:r>
      <w:r>
        <w:rPr>
          <w:rFonts w:hint="default"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155.17</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。其中：</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1.社会保障和就业支出（类）行政事业单位离退休（款）机关事业单位基本养老保险缴费支出（项）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w:t>
      </w:r>
      <w:r>
        <w:rPr>
          <w:rFonts w:hint="eastAsia" w:ascii="仿宋_GB2312" w:hAnsi="ˎ̥" w:eastAsia="仿宋_GB2312" w:cs="仿宋_GB2312"/>
          <w:sz w:val="32"/>
          <w:szCs w:val="32"/>
          <w:lang w:val="en-US" w:eastAsia="zh-CN"/>
        </w:rPr>
        <w:t>13.12</w:t>
      </w:r>
      <w:r>
        <w:rPr>
          <w:rFonts w:hint="default" w:ascii="仿宋_GB2312" w:hAnsi="ˎ̥" w:eastAsia="仿宋_GB2312" w:cs="仿宋_GB2312"/>
          <w:sz w:val="32"/>
          <w:szCs w:val="32"/>
          <w:lang w:val="en-US"/>
        </w:rPr>
        <w:t>万元，支出决算为</w:t>
      </w:r>
      <w:r>
        <w:rPr>
          <w:rFonts w:hint="eastAsia" w:ascii="仿宋_GB2312" w:hAnsi="ˎ̥" w:eastAsia="仿宋_GB2312" w:cs="仿宋_GB2312"/>
          <w:sz w:val="32"/>
          <w:szCs w:val="32"/>
          <w:lang w:val="en-US" w:eastAsia="zh-CN"/>
        </w:rPr>
        <w:t>9.24</w:t>
      </w:r>
      <w:r>
        <w:rPr>
          <w:rFonts w:hint="default" w:ascii="仿宋_GB2312" w:hAnsi="ˎ̥" w:eastAsia="仿宋_GB2312" w:cs="仿宋_GB2312"/>
          <w:sz w:val="32"/>
          <w:szCs w:val="32"/>
          <w:lang w:val="en-US"/>
        </w:rPr>
        <w:t>万元，完成年初预算的</w:t>
      </w:r>
      <w:r>
        <w:rPr>
          <w:rFonts w:hint="eastAsia" w:ascii="仿宋_GB2312" w:hAnsi="ˎ̥" w:eastAsia="仿宋_GB2312" w:cs="仿宋_GB2312"/>
          <w:sz w:val="32"/>
          <w:szCs w:val="32"/>
          <w:lang w:val="en-US" w:eastAsia="zh-CN"/>
        </w:rPr>
        <w:t>70.43</w:t>
      </w:r>
      <w:r>
        <w:rPr>
          <w:rFonts w:hint="default" w:ascii="仿宋_GB2312" w:hAnsi="ˎ̥" w:eastAsia="仿宋_GB2312" w:cs="仿宋_GB2312"/>
          <w:sz w:val="32"/>
          <w:szCs w:val="32"/>
          <w:lang w:val="en-US"/>
        </w:rPr>
        <w:t>%。决算数小于预算数的主要原因：2021年有人员退休，支出较上年减少。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2.社会保障和就业支出（类）行政事业单位离退休（款）机关事业单位职业年金缴费支出（项）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w:t>
      </w:r>
      <w:r>
        <w:rPr>
          <w:rFonts w:hint="eastAsia" w:ascii="仿宋_GB2312" w:hAnsi="ˎ̥" w:eastAsia="仿宋_GB2312" w:cs="仿宋_GB2312"/>
          <w:sz w:val="32"/>
          <w:szCs w:val="32"/>
          <w:lang w:val="en-US" w:eastAsia="zh-CN"/>
        </w:rPr>
        <w:t>5.92</w:t>
      </w:r>
      <w:r>
        <w:rPr>
          <w:rFonts w:hint="default" w:ascii="仿宋_GB2312" w:hAnsi="ˎ̥" w:eastAsia="仿宋_GB2312" w:cs="仿宋_GB2312"/>
          <w:sz w:val="32"/>
          <w:szCs w:val="32"/>
          <w:lang w:val="en-US"/>
        </w:rPr>
        <w:t>万元，支出决算为</w:t>
      </w:r>
      <w:r>
        <w:rPr>
          <w:rFonts w:hint="eastAsia" w:ascii="仿宋_GB2312" w:hAnsi="ˎ̥" w:eastAsia="仿宋_GB2312" w:cs="仿宋_GB2312"/>
          <w:sz w:val="32"/>
          <w:szCs w:val="32"/>
          <w:lang w:val="en-US" w:eastAsia="zh-CN"/>
        </w:rPr>
        <w:t>4.62</w:t>
      </w:r>
      <w:r>
        <w:rPr>
          <w:rFonts w:hint="default" w:ascii="仿宋_GB2312" w:hAnsi="ˎ̥" w:eastAsia="仿宋_GB2312" w:cs="仿宋_GB2312"/>
          <w:sz w:val="32"/>
          <w:szCs w:val="32"/>
          <w:lang w:val="en-US"/>
        </w:rPr>
        <w:t>万元，完成年初预算的7</w:t>
      </w:r>
      <w:r>
        <w:rPr>
          <w:rFonts w:hint="eastAsia" w:ascii="仿宋_GB2312" w:hAnsi="ˎ̥" w:eastAsia="仿宋_GB2312" w:cs="仿宋_GB2312"/>
          <w:sz w:val="32"/>
          <w:szCs w:val="32"/>
          <w:lang w:val="en-US" w:eastAsia="zh-CN"/>
        </w:rPr>
        <w:t>8</w:t>
      </w:r>
      <w:r>
        <w:rPr>
          <w:rFonts w:hint="default" w:ascii="仿宋_GB2312" w:hAnsi="ˎ̥" w:eastAsia="仿宋_GB2312" w:cs="仿宋_GB2312"/>
          <w:sz w:val="32"/>
          <w:szCs w:val="32"/>
          <w:lang w:val="en-US"/>
        </w:rPr>
        <w:t>.04%。决算数小于预算数的主要原因：2021年有人员退休，支出较上年减少。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3.卫生健康支出（类）卫生健康管理事务（款）其他卫生健康管理事务支出（项）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年初预算为0万元，支出决算为</w:t>
      </w:r>
      <w:r>
        <w:rPr>
          <w:rFonts w:hint="eastAsia" w:ascii="仿宋_GB2312" w:hAnsi="ˎ̥" w:eastAsia="仿宋_GB2312" w:cs="仿宋_GB2312"/>
          <w:sz w:val="32"/>
          <w:szCs w:val="32"/>
          <w:lang w:val="en-US" w:eastAsia="zh-CN"/>
        </w:rPr>
        <w:t>14.59</w:t>
      </w:r>
      <w:r>
        <w:rPr>
          <w:rFonts w:hint="default" w:ascii="仿宋_GB2312" w:hAnsi="ˎ̥" w:eastAsia="仿宋_GB2312" w:cs="仿宋_GB2312"/>
          <w:sz w:val="32"/>
          <w:szCs w:val="32"/>
          <w:lang w:val="en-US"/>
        </w:rPr>
        <w:t>万元，决算数大于预算数的主要原因：2021年新增基本公共卫生项目一般公共预算财政拨款，相应支出增加。</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仿宋_GB2312" w:hAnsi="ˎ̥" w:eastAsia="仿宋_GB2312" w:cs="仿宋_GB2312"/>
          <w:sz w:val="32"/>
          <w:szCs w:val="32"/>
          <w:lang w:val="en-US" w:eastAsia="zh-CN"/>
        </w:rPr>
        <w:t>4</w:t>
      </w:r>
      <w:r>
        <w:rPr>
          <w:rFonts w:hint="default" w:ascii="仿宋_GB2312" w:hAnsi="ˎ̥" w:eastAsia="仿宋_GB2312" w:cs="仿宋_GB2312"/>
          <w:sz w:val="32"/>
          <w:szCs w:val="32"/>
          <w:lang w:val="en-US"/>
        </w:rPr>
        <w:t>.卫生健康支出（类）基层医疗卫生机构（款）乡镇卫生院（项）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w:t>
      </w:r>
      <w:r>
        <w:rPr>
          <w:rFonts w:hint="eastAsia" w:ascii="仿宋_GB2312" w:hAnsi="ˎ̥" w:eastAsia="仿宋_GB2312" w:cs="仿宋_GB2312"/>
          <w:sz w:val="32"/>
          <w:szCs w:val="32"/>
          <w:lang w:val="en-US" w:eastAsia="zh-CN"/>
        </w:rPr>
        <w:t>95.42</w:t>
      </w:r>
      <w:r>
        <w:rPr>
          <w:rFonts w:hint="default" w:ascii="仿宋_GB2312" w:hAnsi="ˎ̥" w:eastAsia="仿宋_GB2312" w:cs="仿宋_GB2312"/>
          <w:sz w:val="32"/>
          <w:szCs w:val="32"/>
          <w:lang w:val="en-US"/>
        </w:rPr>
        <w:t>万元，支出决算为</w:t>
      </w:r>
      <w:r>
        <w:rPr>
          <w:rFonts w:hint="eastAsia" w:ascii="仿宋_GB2312" w:hAnsi="ˎ̥" w:eastAsia="仿宋_GB2312" w:cs="仿宋_GB2312"/>
          <w:sz w:val="32"/>
          <w:szCs w:val="32"/>
          <w:lang w:val="en-US" w:eastAsia="zh-CN"/>
        </w:rPr>
        <w:t>100.35</w:t>
      </w:r>
      <w:r>
        <w:rPr>
          <w:rFonts w:hint="default" w:ascii="仿宋_GB2312" w:hAnsi="ˎ̥" w:eastAsia="仿宋_GB2312" w:cs="仿宋_GB2312"/>
          <w:sz w:val="32"/>
          <w:szCs w:val="32"/>
          <w:lang w:val="en-US"/>
        </w:rPr>
        <w:t>万元，完成年初预算的</w:t>
      </w:r>
      <w:r>
        <w:rPr>
          <w:rFonts w:hint="eastAsia" w:ascii="仿宋_GB2312" w:hAnsi="ˎ̥" w:eastAsia="仿宋_GB2312" w:cs="仿宋_GB2312"/>
          <w:sz w:val="32"/>
          <w:szCs w:val="32"/>
          <w:lang w:val="en-US" w:eastAsia="zh-CN"/>
        </w:rPr>
        <w:t>105.17</w:t>
      </w:r>
      <w:r>
        <w:rPr>
          <w:rFonts w:hint="default" w:ascii="仿宋_GB2312" w:hAnsi="ˎ̥" w:eastAsia="仿宋_GB2312" w:cs="仿宋_GB2312"/>
          <w:sz w:val="32"/>
          <w:szCs w:val="32"/>
          <w:lang w:val="en-US"/>
        </w:rPr>
        <w:t>%。决算数大于预算数的主要原因：2021年在编人员工资调增，相应支出增加。</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仿宋_GB2312" w:hAnsi="ˎ̥" w:eastAsia="仿宋_GB2312" w:cs="仿宋_GB2312"/>
          <w:sz w:val="32"/>
          <w:szCs w:val="32"/>
          <w:lang w:val="en-US" w:eastAsia="zh-CN"/>
        </w:rPr>
        <w:t>5</w:t>
      </w:r>
      <w:r>
        <w:rPr>
          <w:rFonts w:hint="default" w:ascii="仿宋_GB2312" w:hAnsi="ˎ̥" w:eastAsia="仿宋_GB2312" w:cs="仿宋_GB2312"/>
          <w:sz w:val="32"/>
          <w:szCs w:val="32"/>
          <w:lang w:val="en-US"/>
        </w:rPr>
        <w:t>.卫生健康支出（类）基层医疗卫生机构（款）其他基层医疗卫生机构（项）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年初预算为0万元，支出决算为</w:t>
      </w:r>
      <w:r>
        <w:rPr>
          <w:rFonts w:hint="eastAsia" w:ascii="仿宋_GB2312" w:hAnsi="ˎ̥" w:eastAsia="仿宋_GB2312" w:cs="仿宋_GB2312"/>
          <w:sz w:val="32"/>
          <w:szCs w:val="32"/>
          <w:lang w:val="en-US" w:eastAsia="zh-CN"/>
        </w:rPr>
        <w:t>1.37</w:t>
      </w:r>
      <w:r>
        <w:rPr>
          <w:rFonts w:hint="default" w:ascii="仿宋_GB2312" w:hAnsi="ˎ̥" w:eastAsia="仿宋_GB2312" w:cs="仿宋_GB2312"/>
          <w:sz w:val="32"/>
          <w:szCs w:val="32"/>
          <w:lang w:val="en-US"/>
        </w:rPr>
        <w:t>万元，决算数大于预算数的主要原因：2021年新增基本药物制度补助项目一般公共预算财政拨款，相应支出增加。</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仿宋_GB2312" w:hAnsi="ˎ̥" w:eastAsia="仿宋_GB2312" w:cs="仿宋_GB2312"/>
          <w:sz w:val="32"/>
          <w:szCs w:val="32"/>
          <w:lang w:val="en-US" w:eastAsia="zh-CN"/>
        </w:rPr>
        <w:t>6</w:t>
      </w:r>
      <w:r>
        <w:rPr>
          <w:rFonts w:hint="default" w:ascii="仿宋_GB2312" w:hAnsi="ˎ̥" w:eastAsia="仿宋_GB2312" w:cs="仿宋_GB2312"/>
          <w:sz w:val="32"/>
          <w:szCs w:val="32"/>
          <w:lang w:val="en-US"/>
        </w:rPr>
        <w:t>.卫生健康支出（类）公共卫生（款）基本公共卫生服务（项）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年初预算为0万元，支出决算为</w:t>
      </w:r>
      <w:r>
        <w:rPr>
          <w:rFonts w:hint="eastAsia" w:ascii="仿宋_GB2312" w:hAnsi="ˎ̥" w:eastAsia="仿宋_GB2312" w:cs="仿宋_GB2312"/>
          <w:sz w:val="32"/>
          <w:szCs w:val="32"/>
          <w:lang w:val="en-US" w:eastAsia="zh-CN"/>
        </w:rPr>
        <w:t>58.32</w:t>
      </w:r>
      <w:r>
        <w:rPr>
          <w:rFonts w:hint="default" w:ascii="仿宋_GB2312" w:hAnsi="ˎ̥" w:eastAsia="仿宋_GB2312" w:cs="仿宋_GB2312"/>
          <w:sz w:val="32"/>
          <w:szCs w:val="32"/>
          <w:lang w:val="en-US"/>
        </w:rPr>
        <w:t>万元，决算数大于预算数的主要原因：2021年新增基本公共卫生项目一般公共预算财政拨款，相应支出增加。</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仿宋_GB2312" w:hAnsi="ˎ̥" w:eastAsia="仿宋_GB2312" w:cs="仿宋_GB2312"/>
          <w:sz w:val="32"/>
          <w:szCs w:val="32"/>
          <w:lang w:val="en-US" w:eastAsia="zh-CN"/>
        </w:rPr>
        <w:t>7</w:t>
      </w:r>
      <w:r>
        <w:rPr>
          <w:rFonts w:hint="default" w:ascii="仿宋_GB2312" w:hAnsi="ˎ̥" w:eastAsia="仿宋_GB2312" w:cs="仿宋_GB2312"/>
          <w:sz w:val="32"/>
          <w:szCs w:val="32"/>
          <w:lang w:val="en-US"/>
        </w:rPr>
        <w:t>.卫生健康支出（类）公共卫生（款）重大公共卫生服务（项）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年初预算为0万元，支出决算为</w:t>
      </w:r>
      <w:r>
        <w:rPr>
          <w:rFonts w:hint="eastAsia" w:ascii="仿宋_GB2312" w:hAnsi="ˎ̥" w:eastAsia="仿宋_GB2312" w:cs="仿宋_GB2312"/>
          <w:sz w:val="32"/>
          <w:szCs w:val="32"/>
          <w:lang w:val="en-US" w:eastAsia="zh-CN"/>
        </w:rPr>
        <w:t>7</w:t>
      </w:r>
      <w:r>
        <w:rPr>
          <w:rFonts w:hint="default" w:ascii="仿宋_GB2312" w:hAnsi="ˎ̥" w:eastAsia="仿宋_GB2312" w:cs="仿宋_GB2312"/>
          <w:sz w:val="32"/>
          <w:szCs w:val="32"/>
          <w:lang w:val="en-US"/>
        </w:rPr>
        <w:t>万元，决算数大于预算数的主要原因：2021年新增新冠肺炎疫情防控项目一般公共预算财政拨款，相应支出增加。</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仿宋_GB2312" w:hAnsi="ˎ̥" w:eastAsia="仿宋_GB2312" w:cs="仿宋_GB2312"/>
          <w:sz w:val="32"/>
          <w:szCs w:val="32"/>
          <w:lang w:val="en-US" w:eastAsia="zh-CN"/>
        </w:rPr>
        <w:t>8</w:t>
      </w:r>
      <w:r>
        <w:rPr>
          <w:rFonts w:hint="default" w:ascii="仿宋_GB2312" w:hAnsi="ˎ̥" w:eastAsia="仿宋_GB2312" w:cs="仿宋_GB2312"/>
          <w:sz w:val="32"/>
          <w:szCs w:val="32"/>
          <w:lang w:val="en-US"/>
        </w:rPr>
        <w:t>.卫生健康支出（类）行政事业单位医疗（款） 事业单位医疗（项）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w:t>
      </w:r>
      <w:r>
        <w:rPr>
          <w:rFonts w:hint="eastAsia" w:ascii="仿宋_GB2312" w:hAnsi="ˎ̥" w:eastAsia="仿宋_GB2312" w:cs="仿宋_GB2312"/>
          <w:sz w:val="32"/>
          <w:szCs w:val="32"/>
          <w:lang w:val="en-US" w:eastAsia="zh-CN"/>
        </w:rPr>
        <w:t>6.97</w:t>
      </w:r>
      <w:r>
        <w:rPr>
          <w:rFonts w:hint="default" w:ascii="仿宋_GB2312" w:hAnsi="ˎ̥" w:eastAsia="仿宋_GB2312" w:cs="仿宋_GB2312"/>
          <w:sz w:val="32"/>
          <w:szCs w:val="32"/>
          <w:lang w:val="en-US"/>
        </w:rPr>
        <w:t>万元，支出决算为</w:t>
      </w:r>
      <w:r>
        <w:rPr>
          <w:rFonts w:hint="eastAsia" w:ascii="仿宋_GB2312" w:hAnsi="ˎ̥" w:eastAsia="仿宋_GB2312" w:cs="仿宋_GB2312"/>
          <w:sz w:val="32"/>
          <w:szCs w:val="32"/>
          <w:lang w:val="en-US" w:eastAsia="zh-CN"/>
        </w:rPr>
        <w:t>4.91</w:t>
      </w:r>
      <w:r>
        <w:rPr>
          <w:rFonts w:hint="default" w:ascii="仿宋_GB2312" w:hAnsi="ˎ̥" w:eastAsia="仿宋_GB2312" w:cs="仿宋_GB2312"/>
          <w:sz w:val="32"/>
          <w:szCs w:val="32"/>
          <w:lang w:val="en-US"/>
        </w:rPr>
        <w:t>万元，完成年初预算的</w:t>
      </w:r>
      <w:r>
        <w:rPr>
          <w:rFonts w:hint="eastAsia" w:ascii="仿宋_GB2312" w:hAnsi="ˎ̥" w:eastAsia="仿宋_GB2312" w:cs="仿宋_GB2312"/>
          <w:sz w:val="32"/>
          <w:szCs w:val="32"/>
          <w:lang w:val="en-US" w:eastAsia="zh-CN"/>
        </w:rPr>
        <w:t>70.44</w:t>
      </w:r>
      <w:r>
        <w:rPr>
          <w:rFonts w:hint="default" w:ascii="仿宋_GB2312" w:hAnsi="ˎ̥" w:eastAsia="仿宋_GB2312" w:cs="仿宋_GB2312"/>
          <w:sz w:val="32"/>
          <w:szCs w:val="32"/>
          <w:lang w:val="en-US"/>
        </w:rPr>
        <w:t>%。决算数小于预算数的主要原因：2021年人员减少，支出减少。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仿宋_GB2312" w:hAnsi="ˎ̥" w:eastAsia="仿宋_GB2312" w:cs="仿宋_GB2312"/>
          <w:sz w:val="32"/>
          <w:szCs w:val="32"/>
          <w:lang w:val="en-US" w:eastAsia="zh-CN"/>
        </w:rPr>
        <w:t>9</w:t>
      </w:r>
      <w:r>
        <w:rPr>
          <w:rFonts w:hint="default" w:ascii="仿宋_GB2312" w:hAnsi="ˎ̥" w:eastAsia="仿宋_GB2312" w:cs="仿宋_GB2312"/>
          <w:sz w:val="32"/>
          <w:szCs w:val="32"/>
          <w:lang w:val="en-US"/>
        </w:rPr>
        <w:t>.卫生健康支出（类）行政事业单位医疗（款）公务员医疗补助（项）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w:t>
      </w:r>
      <w:r>
        <w:rPr>
          <w:rFonts w:hint="eastAsia" w:ascii="仿宋_GB2312" w:hAnsi="ˎ̥" w:eastAsia="仿宋_GB2312" w:cs="仿宋_GB2312"/>
          <w:sz w:val="32"/>
          <w:szCs w:val="32"/>
          <w:lang w:val="en-US" w:eastAsia="zh-CN"/>
        </w:rPr>
        <w:t>7.62</w:t>
      </w:r>
      <w:r>
        <w:rPr>
          <w:rFonts w:hint="default" w:ascii="仿宋_GB2312" w:hAnsi="ˎ̥" w:eastAsia="仿宋_GB2312" w:cs="仿宋_GB2312"/>
          <w:sz w:val="32"/>
          <w:szCs w:val="32"/>
          <w:lang w:val="en-US"/>
        </w:rPr>
        <w:t>万元，支出决算为</w:t>
      </w:r>
      <w:r>
        <w:rPr>
          <w:rFonts w:hint="eastAsia" w:ascii="仿宋_GB2312" w:hAnsi="ˎ̥" w:eastAsia="仿宋_GB2312" w:cs="仿宋_GB2312"/>
          <w:sz w:val="32"/>
          <w:szCs w:val="32"/>
          <w:lang w:val="en-US" w:eastAsia="zh-CN"/>
        </w:rPr>
        <w:t>7.46</w:t>
      </w:r>
      <w:r>
        <w:rPr>
          <w:rFonts w:hint="default" w:ascii="仿宋_GB2312" w:hAnsi="ˎ̥" w:eastAsia="仿宋_GB2312" w:cs="仿宋_GB2312"/>
          <w:sz w:val="32"/>
          <w:szCs w:val="32"/>
          <w:lang w:val="en-US"/>
        </w:rPr>
        <w:t>万元，完成年初预算的</w:t>
      </w:r>
      <w:r>
        <w:rPr>
          <w:rFonts w:hint="eastAsia" w:ascii="仿宋_GB2312" w:hAnsi="ˎ̥" w:eastAsia="仿宋_GB2312" w:cs="仿宋_GB2312"/>
          <w:sz w:val="32"/>
          <w:szCs w:val="32"/>
          <w:lang w:val="en-US" w:eastAsia="zh-CN"/>
        </w:rPr>
        <w:t>97.90</w:t>
      </w:r>
      <w:r>
        <w:rPr>
          <w:rFonts w:hint="default" w:ascii="仿宋_GB2312" w:hAnsi="ˎ̥" w:eastAsia="仿宋_GB2312" w:cs="仿宋_GB2312"/>
          <w:sz w:val="32"/>
          <w:szCs w:val="32"/>
          <w:lang w:val="en-US"/>
        </w:rPr>
        <w:t>%。决算数大于预算数的主要原因：2021年人员减少，支出减少。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1</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.住房保障支出（类）住房改革支出（款）住房公积金（项）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年初预算为</w:t>
      </w:r>
      <w:r>
        <w:rPr>
          <w:rFonts w:hint="eastAsia" w:ascii="仿宋_GB2312" w:hAnsi="ˎ̥" w:eastAsia="仿宋_GB2312" w:cs="仿宋_GB2312"/>
          <w:sz w:val="32"/>
          <w:szCs w:val="32"/>
          <w:lang w:val="en-US" w:eastAsia="zh-CN"/>
        </w:rPr>
        <w:t>9.84</w:t>
      </w:r>
      <w:r>
        <w:rPr>
          <w:rFonts w:hint="default" w:ascii="仿宋_GB2312" w:hAnsi="ˎ̥" w:eastAsia="仿宋_GB2312" w:cs="仿宋_GB2312"/>
          <w:sz w:val="32"/>
          <w:szCs w:val="32"/>
          <w:lang w:val="en-US"/>
        </w:rPr>
        <w:t>万元，支出决算为</w:t>
      </w:r>
      <w:r>
        <w:rPr>
          <w:rFonts w:hint="eastAsia" w:ascii="仿宋_GB2312" w:hAnsi="ˎ̥" w:eastAsia="仿宋_GB2312" w:cs="仿宋_GB2312"/>
          <w:sz w:val="32"/>
          <w:szCs w:val="32"/>
          <w:lang w:val="en-US" w:eastAsia="zh-CN"/>
        </w:rPr>
        <w:t>7.31</w:t>
      </w:r>
      <w:r>
        <w:rPr>
          <w:rFonts w:hint="default" w:ascii="仿宋_GB2312" w:hAnsi="ˎ̥" w:eastAsia="仿宋_GB2312" w:cs="仿宋_GB2312"/>
          <w:sz w:val="32"/>
          <w:szCs w:val="32"/>
          <w:lang w:val="en-US"/>
        </w:rPr>
        <w:t>万元，完成年初预算的</w:t>
      </w:r>
      <w:r>
        <w:rPr>
          <w:rFonts w:hint="eastAsia" w:ascii="仿宋_GB2312" w:hAnsi="ˎ̥" w:eastAsia="仿宋_GB2312" w:cs="仿宋_GB2312"/>
          <w:sz w:val="32"/>
          <w:szCs w:val="32"/>
          <w:lang w:val="en-US" w:eastAsia="zh-CN"/>
        </w:rPr>
        <w:t>74.29</w:t>
      </w:r>
      <w:r>
        <w:rPr>
          <w:rFonts w:hint="default" w:ascii="仿宋_GB2312" w:hAnsi="ˎ̥" w:eastAsia="仿宋_GB2312" w:cs="仿宋_GB2312"/>
          <w:sz w:val="32"/>
          <w:szCs w:val="32"/>
          <w:lang w:val="en-US"/>
        </w:rPr>
        <w:t>%。决算数小于预算数的主要原因：2021年人员减少，支出减少。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（本部分支出决算数字可取自财决公开</w:t>
      </w:r>
      <w:r>
        <w:rPr>
          <w:rFonts w:hint="default" w:ascii="仿宋_GB2312" w:hAnsi="ˎ̥" w:eastAsia="仿宋_GB2312" w:cs="仿宋_GB2312"/>
          <w:sz w:val="32"/>
          <w:szCs w:val="32"/>
          <w:lang w:val="en-US"/>
        </w:rPr>
        <w:t>05</w:t>
      </w:r>
      <w:r>
        <w:rPr>
          <w:rFonts w:hint="default" w:ascii="仿宋_GB2312" w:hAnsi="ˎ̥" w:eastAsia="仿宋_GB2312" w:cs="仿宋_GB2312"/>
          <w:sz w:val="32"/>
          <w:szCs w:val="32"/>
        </w:rPr>
        <w:t>表，年初预算数可取自各部门（单位）年初预算大本，根据各部门（单位）实际支出涉及的支出功能分类项级科目填列）。</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107" w:name="_Toc26339"/>
      <w:r>
        <w:rPr>
          <w:rFonts w:hint="eastAsia" w:ascii="黑体" w:hAnsi="宋体" w:eastAsia="黑体" w:cs="黑体"/>
          <w:bCs/>
          <w:sz w:val="32"/>
          <w:szCs w:val="32"/>
        </w:rPr>
        <w:t>六、一般公共预算财政拨款基本支出决算情况说明。</w:t>
      </w:r>
      <w:bookmarkEnd w:id="107"/>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年度财政拨款基本支出</w:t>
      </w:r>
      <w:r>
        <w:rPr>
          <w:rFonts w:hint="default" w:ascii="仿宋_GB2312" w:hAnsi="ˎ̥" w:eastAsia="仿宋_GB2312" w:cs="仿宋_GB2312"/>
          <w:sz w:val="32"/>
          <w:szCs w:val="32"/>
          <w:lang w:val="en-US"/>
        </w:rPr>
        <w:t>131.59</w:t>
      </w:r>
      <w:r>
        <w:rPr>
          <w:rFonts w:hint="default" w:ascii="仿宋_GB2312" w:hAnsi="ˎ̥" w:eastAsia="仿宋_GB2312" w:cs="仿宋_GB2312"/>
          <w:sz w:val="32"/>
          <w:szCs w:val="32"/>
        </w:rPr>
        <w:t>万元，其中：人员经费</w:t>
      </w:r>
      <w:r>
        <w:rPr>
          <w:rFonts w:hint="default" w:ascii="仿宋_GB2312" w:hAnsi="ˎ̥" w:eastAsia="仿宋_GB2312" w:cs="仿宋_GB2312"/>
          <w:sz w:val="32"/>
          <w:szCs w:val="32"/>
          <w:lang w:val="en-US"/>
        </w:rPr>
        <w:t>124.07</w:t>
      </w:r>
      <w:r>
        <w:rPr>
          <w:rFonts w:hint="default" w:ascii="仿宋_GB2312" w:hAnsi="ˎ̥" w:eastAsia="仿宋_GB2312" w:cs="仿宋_GB2312"/>
          <w:sz w:val="32"/>
          <w:szCs w:val="32"/>
        </w:rPr>
        <w:t>万元，主要包括：工资福利支出中的基本工资、津贴补贴、绩效工资、机关事业单位基本养老保险缴费、职业年金缴费、职工基本医疗保险缴费、公务员医疗补助缴费、其他社会保障缴费、住房公积金；对个人和家庭的补助中的生活补助。公用经费</w:t>
      </w:r>
      <w:r>
        <w:rPr>
          <w:rFonts w:hint="default" w:ascii="仿宋_GB2312" w:hAnsi="ˎ̥" w:eastAsia="仿宋_GB2312" w:cs="仿宋_GB2312"/>
          <w:sz w:val="32"/>
          <w:szCs w:val="32"/>
          <w:lang w:val="en-US"/>
        </w:rPr>
        <w:t>7.52</w:t>
      </w:r>
      <w:r>
        <w:rPr>
          <w:rFonts w:hint="default" w:ascii="仿宋_GB2312" w:hAnsi="ˎ̥" w:eastAsia="仿宋_GB2312" w:cs="仿宋_GB2312"/>
          <w:sz w:val="32"/>
          <w:szCs w:val="32"/>
        </w:rPr>
        <w:t>万元，主要包括：商品和服务支出中的办公费、水费、电费、邮电费、租赁费、劳务费、委托业务费。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（上述数字可取自财决公开</w:t>
      </w:r>
      <w:r>
        <w:rPr>
          <w:rFonts w:hint="default" w:ascii="仿宋_GB2312" w:hAnsi="ˎ̥" w:eastAsia="仿宋_GB2312" w:cs="仿宋_GB2312"/>
          <w:sz w:val="32"/>
          <w:szCs w:val="32"/>
          <w:lang w:val="en-US"/>
        </w:rPr>
        <w:t>06</w:t>
      </w:r>
      <w:r>
        <w:rPr>
          <w:rFonts w:hint="default" w:ascii="仿宋_GB2312" w:hAnsi="ˎ̥" w:eastAsia="仿宋_GB2312" w:cs="仿宋_GB2312"/>
          <w:sz w:val="32"/>
          <w:szCs w:val="32"/>
        </w:rPr>
        <w:t>表，各部门（单位）根据实际支出情况，选列相应支出经济分类。）</w:t>
      </w:r>
    </w:p>
    <w:p>
      <w:pPr>
        <w:keepNext w:val="0"/>
        <w:keepLines w:val="0"/>
        <w:widowControl/>
        <w:suppressLineNumbers w:val="0"/>
        <w:spacing w:before="0" w:beforeAutospacing="1" w:after="0" w:afterAutospacing="1"/>
        <w:ind w:left="0" w:right="0" w:firstLine="640" w:firstLineChars="200"/>
        <w:outlineLvl w:val="1"/>
        <w:rPr>
          <w:rFonts w:hint="default" w:ascii="仿宋_GB2312" w:hAnsi="ˎ̥" w:eastAsia="仿宋_GB2312" w:cs="仿宋_GB2312"/>
          <w:sz w:val="32"/>
          <w:szCs w:val="32"/>
          <w:lang w:val="en-US"/>
        </w:rPr>
      </w:pPr>
      <w:bookmarkStart w:id="108" w:name="_Toc25558"/>
      <w:r>
        <w:rPr>
          <w:rFonts w:hint="eastAsia" w:ascii="黑体" w:hAnsi="宋体" w:eastAsia="黑体" w:cs="黑体"/>
          <w:bCs/>
          <w:sz w:val="32"/>
          <w:szCs w:val="32"/>
        </w:rPr>
        <w:t>七、政府性基金预算财政拨款支出决算情况说明</w:t>
      </w:r>
      <w:bookmarkEnd w:id="108"/>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（一）政府性基金预算财政拨款支出决算总体情况。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万元，占本年支出合计的</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w:t>
      </w:r>
      <w:r>
        <w:rPr>
          <w:rFonts w:hint="eastAsia" w:ascii="仿宋_GB2312" w:hAnsi="ˎ̥" w:eastAsia="仿宋_GB2312" w:cs="仿宋_GB2312"/>
          <w:sz w:val="32"/>
          <w:szCs w:val="32"/>
          <w:lang w:val="en-US" w:eastAsia="zh-CN"/>
        </w:rPr>
        <w:t>一致</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（二）政府性基金预算财政拨款支出决算结构情况。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万元，主要用于以下方面。</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（根据各部门（单位）实际支出涉及的支出功能分类类级科目填列）</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（三）政府性基金预算财政拨款支出决算具体情况。</w:t>
      </w:r>
    </w:p>
    <w:p>
      <w:pPr>
        <w:keepNext w:val="0"/>
        <w:keepLines w:val="0"/>
        <w:widowControl/>
        <w:suppressLineNumbers w:val="0"/>
        <w:spacing w:before="0" w:beforeAutospacing="1" w:after="0" w:afterAutospacing="1"/>
        <w:ind w:left="0" w:right="0" w:firstLine="640" w:firstLineChars="200"/>
        <w:rPr>
          <w:rFonts w:hint="eastAsia" w:ascii="仿宋_GB2312" w:hAnsi="ˎ̥" w:eastAsia="仿宋_GB2312" w:cs="仿宋_GB2312"/>
          <w:sz w:val="32"/>
          <w:szCs w:val="32"/>
          <w:lang w:val="en-US" w:eastAsia="zh-CN"/>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年度政府性基金预算财政拨款支出年初预算为</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万元，支出决算为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w:t>
      </w:r>
      <w:r>
        <w:rPr>
          <w:rFonts w:hint="eastAsia" w:ascii="仿宋_GB2312" w:hAnsi="ˎ̥" w:eastAsia="仿宋_GB2312" w:cs="仿宋_GB2312"/>
          <w:sz w:val="32"/>
          <w:szCs w:val="32"/>
          <w:lang w:eastAsia="zh-CN"/>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（根据各部门（单位）实际支出涉及的支出功能分类项级科目填列，本部分</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年决算相关数据取自财决公开</w:t>
      </w:r>
      <w:r>
        <w:rPr>
          <w:rFonts w:hint="default" w:ascii="仿宋_GB2312" w:hAnsi="ˎ̥" w:eastAsia="仿宋_GB2312" w:cs="仿宋_GB2312"/>
          <w:sz w:val="32"/>
          <w:szCs w:val="32"/>
          <w:lang w:val="en-US"/>
        </w:rPr>
        <w:t>07</w:t>
      </w:r>
      <w:r>
        <w:rPr>
          <w:rFonts w:hint="default" w:ascii="仿宋_GB2312" w:hAnsi="ˎ̥" w:eastAsia="仿宋_GB2312" w:cs="仿宋_GB2312"/>
          <w:sz w:val="32"/>
          <w:szCs w:val="32"/>
        </w:rPr>
        <w:t>表；</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年决算相关数据取自财决</w:t>
      </w:r>
      <w:r>
        <w:rPr>
          <w:rFonts w:hint="default" w:ascii="仿宋_GB2312" w:hAnsi="ˎ̥" w:eastAsia="仿宋_GB2312" w:cs="仿宋_GB2312"/>
          <w:sz w:val="32"/>
          <w:szCs w:val="32"/>
          <w:lang w:val="en-US"/>
        </w:rPr>
        <w:t>09</w:t>
      </w:r>
      <w:r>
        <w:rPr>
          <w:rFonts w:hint="default" w:ascii="仿宋_GB2312" w:hAnsi="ˎ̥" w:eastAsia="仿宋_GB2312" w:cs="仿宋_GB2312"/>
          <w:sz w:val="32"/>
          <w:szCs w:val="32"/>
        </w:rPr>
        <w:t>表《政府性基金预算财政拨款收入支出决算表》）。</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109" w:name="_Toc2590"/>
      <w:r>
        <w:rPr>
          <w:rFonts w:hint="eastAsia" w:ascii="黑体" w:hAnsi="宋体" w:eastAsia="黑体" w:cs="黑体"/>
          <w:bCs/>
          <w:sz w:val="32"/>
          <w:szCs w:val="32"/>
        </w:rPr>
        <w:t>八、国有资本经营预算财政拨款支出决算情况说明</w:t>
      </w:r>
      <w:bookmarkEnd w:id="109"/>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（一）国有资本经营预算财政拨款支出决算总体情况。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年度国有资本经营预算财政拨款支出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万元，占本年支出合计的</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w:t>
      </w:r>
      <w:r>
        <w:rPr>
          <w:rFonts w:hint="eastAsia" w:ascii="仿宋_GB2312" w:hAnsi="ˎ̥" w:eastAsia="仿宋_GB2312" w:cs="仿宋_GB2312"/>
          <w:sz w:val="32"/>
          <w:szCs w:val="32"/>
          <w:lang w:val="en-US" w:eastAsia="zh-CN"/>
        </w:rPr>
        <w:t>一致</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（二）国有资本经营预算财政拨款支出决算结构情况。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年度国有资本经营预算财政拨款支出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（根据各部门（单位）实际支出涉及的支出功能分类类级科目填列）</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（三）国有资本经营预算财政拨款支出决算具体情况。</w:t>
      </w:r>
    </w:p>
    <w:p>
      <w:pPr>
        <w:keepNext w:val="0"/>
        <w:keepLines w:val="0"/>
        <w:widowControl/>
        <w:suppressLineNumbers w:val="0"/>
        <w:spacing w:before="0" w:beforeAutospacing="1" w:after="0" w:afterAutospacing="1"/>
        <w:ind w:left="0" w:right="0" w:firstLine="640" w:firstLineChars="200"/>
        <w:rPr>
          <w:rFonts w:hint="eastAsia" w:ascii="仿宋_GB2312" w:hAnsi="ˎ̥" w:eastAsia="仿宋_GB2312" w:cs="仿宋_GB2312"/>
          <w:sz w:val="32"/>
          <w:szCs w:val="32"/>
          <w:lang w:val="en-US" w:eastAsia="zh-CN"/>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年度国有资本经营预算财政拨款支出年初预算</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为万元，支出决算为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w:t>
      </w:r>
      <w:r>
        <w:rPr>
          <w:rFonts w:hint="eastAsia" w:ascii="仿宋_GB2312" w:hAnsi="ˎ̥" w:eastAsia="仿宋_GB2312" w:cs="仿宋_GB2312"/>
          <w:sz w:val="32"/>
          <w:szCs w:val="32"/>
          <w:lang w:eastAsia="zh-CN"/>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（根据各部门（单位）实际支出涉及的支出功能分类项级科目填列，本部分</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年决算相关数据取自财决公开</w:t>
      </w:r>
      <w:r>
        <w:rPr>
          <w:rFonts w:hint="default" w:ascii="仿宋_GB2312" w:hAnsi="ˎ̥" w:eastAsia="仿宋_GB2312" w:cs="仿宋_GB2312"/>
          <w:sz w:val="32"/>
          <w:szCs w:val="32"/>
          <w:lang w:val="en-US"/>
        </w:rPr>
        <w:t>08</w:t>
      </w:r>
      <w:r>
        <w:rPr>
          <w:rFonts w:hint="default" w:ascii="仿宋_GB2312" w:hAnsi="ˎ̥" w:eastAsia="仿宋_GB2312" w:cs="仿宋_GB2312"/>
          <w:sz w:val="32"/>
          <w:szCs w:val="32"/>
        </w:rPr>
        <w:t>表）。</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110" w:name="_Toc27087"/>
      <w:r>
        <w:rPr>
          <w:rFonts w:hint="eastAsia" w:ascii="黑体" w:hAnsi="宋体" w:eastAsia="黑体" w:cs="黑体"/>
          <w:bCs/>
          <w:sz w:val="32"/>
          <w:szCs w:val="32"/>
        </w:rPr>
        <w:t>九、一般公共预算财政拨款“三公”经费支出决算情况说明</w:t>
      </w:r>
      <w:bookmarkEnd w:id="110"/>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（一）一般公共预算财政拨款“三公”经费支出决算总体情况说明。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 xml:space="preserve"> 2021</w:t>
      </w:r>
      <w:r>
        <w:rPr>
          <w:rFonts w:hint="default" w:ascii="仿宋_GB2312" w:hAnsi="ˎ̥" w:eastAsia="仿宋_GB2312" w:cs="仿宋_GB2312"/>
          <w:sz w:val="32"/>
          <w:szCs w:val="32"/>
        </w:rPr>
        <w:t>年度一般公共预算财政拨款“三公”经费支出预算为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万元，支出决算为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（二）一般公共预算财政拨款“三公”经费支出决算具体情况说明。</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年度一般公共预算财政拨款“三公”经费支出决算中，因公出国（境）费支出决算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；公务用车购置及运行维护费支出决算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；公务接待费支出决算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。具体情况如下：</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1.</w:t>
      </w:r>
      <w:r>
        <w:rPr>
          <w:rFonts w:hint="default" w:ascii="仿宋_GB2312" w:hAnsi="ˎ̥" w:eastAsia="仿宋_GB2312" w:cs="仿宋_GB2312"/>
          <w:sz w:val="32"/>
          <w:szCs w:val="32"/>
        </w:rPr>
        <w:t>因公出国（境）费支出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万元。全年安排因公出国（境）团组</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个，因公出国（境）</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人次。</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因公出国（境）费支出决算</w:t>
      </w:r>
      <w:r>
        <w:rPr>
          <w:rFonts w:hint="eastAsia" w:ascii="仿宋_GB2312" w:hAnsi="ˎ̥" w:eastAsia="仿宋_GB2312" w:cs="仿宋_GB2312"/>
          <w:sz w:val="32"/>
          <w:szCs w:val="32"/>
          <w:lang w:val="en-US" w:eastAsia="zh-CN"/>
        </w:rPr>
        <w:t>与</w:t>
      </w:r>
      <w:r>
        <w:rPr>
          <w:rFonts w:hint="default" w:ascii="仿宋_GB2312" w:hAnsi="ˎ̥" w:eastAsia="仿宋_GB2312" w:cs="仿宋_GB2312"/>
          <w:sz w:val="32"/>
          <w:szCs w:val="32"/>
        </w:rPr>
        <w:t>预算数</w:t>
      </w:r>
      <w:r>
        <w:rPr>
          <w:rFonts w:hint="eastAsia" w:ascii="仿宋_GB2312" w:hAnsi="ˎ̥" w:eastAsia="仿宋_GB2312" w:cs="仿宋_GB2312"/>
          <w:sz w:val="32"/>
          <w:szCs w:val="32"/>
          <w:lang w:val="en-US" w:eastAsia="zh-CN"/>
        </w:rPr>
        <w:t>一致</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w:t>
      </w:r>
      <w:r>
        <w:rPr>
          <w:rFonts w:hint="default" w:ascii="仿宋_GB2312" w:hAnsi="ˎ̥" w:eastAsia="仿宋_GB2312" w:cs="仿宋_GB2312"/>
          <w:sz w:val="32"/>
          <w:szCs w:val="32"/>
        </w:rPr>
        <w:t>公务用车购置及运行维护费支出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万元。其中：</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公务用车购置支出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万元，全年购置公务用车</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辆，年末公务用车保有量</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辆。</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公务用车运行维护费支出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公务用车购置及运行费支出决算数</w:t>
      </w:r>
      <w:r>
        <w:rPr>
          <w:rFonts w:hint="eastAsia" w:ascii="仿宋_GB2312" w:hAnsi="ˎ̥" w:eastAsia="仿宋_GB2312" w:cs="仿宋_GB2312"/>
          <w:sz w:val="32"/>
          <w:szCs w:val="32"/>
          <w:lang w:val="en-US" w:eastAsia="zh-CN"/>
        </w:rPr>
        <w:t>与</w:t>
      </w:r>
      <w:r>
        <w:rPr>
          <w:rFonts w:hint="default" w:ascii="仿宋_GB2312" w:hAnsi="ˎ̥" w:eastAsia="仿宋_GB2312" w:cs="仿宋_GB2312"/>
          <w:sz w:val="32"/>
          <w:szCs w:val="32"/>
        </w:rPr>
        <w:t>预算数</w:t>
      </w:r>
      <w:r>
        <w:rPr>
          <w:rFonts w:hint="eastAsia" w:ascii="仿宋_GB2312" w:hAnsi="ˎ̥" w:eastAsia="仿宋_GB2312" w:cs="仿宋_GB2312"/>
          <w:sz w:val="32"/>
          <w:szCs w:val="32"/>
          <w:lang w:val="en-US" w:eastAsia="zh-CN"/>
        </w:rPr>
        <w:t>一致</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3.</w:t>
      </w:r>
      <w:r>
        <w:rPr>
          <w:rFonts w:hint="default" w:ascii="仿宋_GB2312" w:hAnsi="ˎ̥" w:eastAsia="仿宋_GB2312" w:cs="仿宋_GB2312"/>
          <w:sz w:val="32"/>
          <w:szCs w:val="32"/>
        </w:rPr>
        <w:t>公务接待费支出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万元，其中：</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国内接待费支出</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万元，国内公务接待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批次，接待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人次。</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国（境）外接待费支出</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万元，国（境）外公务接待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批次，接待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人次。</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公务接待费支出决算数</w:t>
      </w:r>
      <w:r>
        <w:rPr>
          <w:rFonts w:hint="eastAsia" w:ascii="仿宋_GB2312" w:hAnsi="ˎ̥" w:eastAsia="仿宋_GB2312" w:cs="仿宋_GB2312"/>
          <w:sz w:val="32"/>
          <w:szCs w:val="32"/>
          <w:lang w:val="en-US" w:eastAsia="zh-CN"/>
        </w:rPr>
        <w:t>与</w:t>
      </w:r>
      <w:r>
        <w:rPr>
          <w:rFonts w:hint="default" w:ascii="仿宋_GB2312" w:hAnsi="ˎ̥" w:eastAsia="仿宋_GB2312" w:cs="仿宋_GB2312"/>
          <w:sz w:val="32"/>
          <w:szCs w:val="32"/>
        </w:rPr>
        <w:t>预算数</w:t>
      </w:r>
      <w:r>
        <w:rPr>
          <w:rFonts w:hint="eastAsia" w:ascii="仿宋_GB2312" w:hAnsi="ˎ̥" w:eastAsia="仿宋_GB2312" w:cs="仿宋_GB2312"/>
          <w:sz w:val="32"/>
          <w:szCs w:val="32"/>
          <w:lang w:val="en-US" w:eastAsia="zh-CN"/>
        </w:rPr>
        <w:t>一致</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年度“三公”经费预算数、决算数可取自附件财决公开</w:t>
      </w:r>
      <w:r>
        <w:rPr>
          <w:rFonts w:hint="default" w:ascii="仿宋_GB2312" w:hAnsi="ˎ̥" w:eastAsia="仿宋_GB2312" w:cs="仿宋_GB2312"/>
          <w:sz w:val="32"/>
          <w:szCs w:val="32"/>
          <w:lang w:val="en-US"/>
        </w:rPr>
        <w:t>09</w:t>
      </w:r>
      <w:r>
        <w:rPr>
          <w:rFonts w:hint="default" w:ascii="仿宋_GB2312" w:hAnsi="ˎ̥" w:eastAsia="仿宋_GB2312" w:cs="仿宋_GB2312"/>
          <w:sz w:val="32"/>
          <w:szCs w:val="32"/>
        </w:rPr>
        <w:t>表，</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年的出国团组数、出国人次，公务用车购置数、公务用车保有量，接待团组数、接待人次可取自部门决算报表</w:t>
      </w:r>
      <w:r>
        <w:rPr>
          <w:rFonts w:hint="default" w:ascii="仿宋_GB2312" w:hAnsi="ˎ̥" w:eastAsia="仿宋_GB2312" w:cs="仿宋_GB2312"/>
          <w:sz w:val="32"/>
          <w:szCs w:val="32"/>
          <w:lang w:val="en-US"/>
        </w:rPr>
        <w:t>F03</w:t>
      </w:r>
      <w:r>
        <w:rPr>
          <w:rFonts w:hint="default" w:ascii="仿宋_GB2312" w:hAnsi="ˎ̥" w:eastAsia="仿宋_GB2312" w:cs="仿宋_GB2312"/>
          <w:sz w:val="32"/>
          <w:szCs w:val="32"/>
        </w:rPr>
        <w:t>表《机构运行信息表》）。</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111" w:name="_Toc5452"/>
      <w:r>
        <w:rPr>
          <w:rFonts w:hint="eastAsia" w:ascii="黑体" w:hAnsi="宋体" w:eastAsia="黑体" w:cs="黑体"/>
          <w:bCs/>
          <w:sz w:val="32"/>
          <w:szCs w:val="32"/>
        </w:rPr>
        <w:t>十、政府性基金预算财政拨款“三公”经费支出决算情况说明</w:t>
      </w:r>
      <w:bookmarkEnd w:id="111"/>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年度政府性基金预算财政拨款“三公”经费支出合计</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万元。其中：因公出国（境）费支出决算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；公务用车购置及运行维护费支出决算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；公务接待费支出决算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（本部分决算公开数字取自财决公开</w:t>
      </w:r>
      <w:r>
        <w:rPr>
          <w:rFonts w:hint="default" w:ascii="仿宋_GB2312" w:hAnsi="ˎ̥" w:eastAsia="仿宋_GB2312" w:cs="仿宋_GB2312"/>
          <w:sz w:val="32"/>
          <w:szCs w:val="32"/>
          <w:lang w:val="en-US"/>
        </w:rPr>
        <w:t>10</w:t>
      </w:r>
      <w:r>
        <w:rPr>
          <w:rFonts w:hint="default" w:ascii="仿宋_GB2312" w:hAnsi="ˎ̥" w:eastAsia="仿宋_GB2312" w:cs="仿宋_GB2312"/>
          <w:sz w:val="32"/>
          <w:szCs w:val="32"/>
        </w:rPr>
        <w:t>表）</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112" w:name="_Toc11414"/>
      <w:r>
        <w:rPr>
          <w:rFonts w:hint="eastAsia" w:ascii="黑体" w:hAnsi="宋体" w:eastAsia="黑体" w:cs="黑体"/>
          <w:bCs/>
          <w:sz w:val="32"/>
          <w:szCs w:val="32"/>
        </w:rPr>
        <w:t>十一、国有资本经营预算财政拨款“三公”经费支出决算情况说明</w:t>
      </w:r>
      <w:bookmarkEnd w:id="112"/>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年度国有资本经营预算财政拨款“三公”经费支出合计</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万元。其中：因公出国（境）费支出决算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；公务用车购置及运行维护费支出决算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；公务接待费支出决算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（本部分决算公开数字取自财决公开</w:t>
      </w:r>
      <w:r>
        <w:rPr>
          <w:rFonts w:hint="default" w:ascii="仿宋_GB2312" w:hAnsi="ˎ̥" w:eastAsia="仿宋_GB2312" w:cs="仿宋_GB2312"/>
          <w:sz w:val="32"/>
          <w:szCs w:val="32"/>
          <w:lang w:val="en-US"/>
        </w:rPr>
        <w:t>11</w:t>
      </w:r>
      <w:r>
        <w:rPr>
          <w:rFonts w:hint="default" w:ascii="仿宋_GB2312" w:hAnsi="ˎ̥" w:eastAsia="仿宋_GB2312" w:cs="仿宋_GB2312"/>
          <w:sz w:val="32"/>
          <w:szCs w:val="32"/>
        </w:rPr>
        <w:t>表）</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113" w:name="_Toc27942"/>
      <w:r>
        <w:rPr>
          <w:rFonts w:hint="eastAsia" w:ascii="黑体" w:hAnsi="宋体" w:eastAsia="黑体" w:cs="黑体"/>
          <w:bCs/>
          <w:sz w:val="32"/>
          <w:szCs w:val="32"/>
        </w:rPr>
        <w:t>十二、预算绩效情况说明。</w:t>
      </w:r>
      <w:bookmarkEnd w:id="113"/>
    </w:p>
    <w:p>
      <w:pPr>
        <w:keepNext w:val="0"/>
        <w:keepLines w:val="0"/>
        <w:widowControl/>
        <w:suppressLineNumbers w:val="0"/>
        <w:spacing w:before="0" w:beforeAutospacing="1" w:after="0" w:afterAutospacing="1" w:line="578" w:lineRule="exact"/>
        <w:ind w:left="0" w:right="0" w:firstLine="643" w:firstLineChars="200"/>
        <w:rPr>
          <w:rFonts w:hint="eastAsia" w:ascii="楷体" w:hAnsi="楷体" w:eastAsia="楷体" w:cs="楷体"/>
          <w:b/>
          <w:bCs w:val="0"/>
          <w:sz w:val="32"/>
          <w:szCs w:val="32"/>
          <w:lang w:val="en-US"/>
        </w:rPr>
      </w:pPr>
      <w:r>
        <w:rPr>
          <w:rFonts w:hint="eastAsia" w:ascii="楷体" w:hAnsi="楷体" w:eastAsia="楷体" w:cs="楷体"/>
          <w:b/>
          <w:bCs w:val="0"/>
          <w:sz w:val="32"/>
          <w:szCs w:val="32"/>
        </w:rPr>
        <w:t>（一）绩效管理工作开展情况。</w:t>
      </w:r>
    </w:p>
    <w:p>
      <w:pPr>
        <w:keepNext w:val="0"/>
        <w:keepLines w:val="0"/>
        <w:widowControl/>
        <w:suppressLineNumbers w:val="0"/>
        <w:spacing w:before="0" w:beforeAutospacing="1" w:after="0" w:afterAutospacing="1"/>
        <w:ind w:left="0" w:right="0" w:firstLine="640" w:firstLineChars="200"/>
        <w:rPr>
          <w:rFonts w:hint="default" w:ascii="仿宋_GB2312" w:eastAsia="仿宋_GB2312" w:cs="仿宋_GB2312"/>
          <w:sz w:val="32"/>
          <w:szCs w:val="32"/>
          <w:lang w:val="en-US"/>
        </w:rPr>
      </w:pPr>
      <w:r>
        <w:rPr>
          <w:rFonts w:hint="default" w:ascii="仿宋_GB2312" w:eastAsia="仿宋_GB2312" w:cs="仿宋_GB2312"/>
          <w:sz w:val="32"/>
          <w:szCs w:val="32"/>
        </w:rPr>
        <w:t>本单位为预算管理二级单位，是财政补助差额事业单位，仅有一般公共预算项目基本支出（社会保障和就业支出、住房保障支出、卫生健康支出），无政府性基金支出，也未纳入万宁市202</w:t>
      </w:r>
      <w:r>
        <w:rPr>
          <w:rFonts w:hint="eastAsia" w:ascii="仿宋_GB2312" w:eastAsia="仿宋_GB2312" w:cs="仿宋_GB2312"/>
          <w:sz w:val="32"/>
          <w:szCs w:val="32"/>
          <w:lang w:val="en-US" w:eastAsia="zh-CN"/>
        </w:rPr>
        <w:t>1</w:t>
      </w:r>
      <w:r>
        <w:rPr>
          <w:rFonts w:hint="default" w:ascii="仿宋_GB2312" w:eastAsia="仿宋_GB2312" w:cs="仿宋_GB2312"/>
          <w:sz w:val="32"/>
          <w:szCs w:val="32"/>
        </w:rPr>
        <w:t>年度绩效自评预算项目，未开展整体支出绩效评价工作。</w:t>
      </w:r>
    </w:p>
    <w:p>
      <w:pPr>
        <w:keepNext w:val="0"/>
        <w:keepLines w:val="0"/>
        <w:widowControl/>
        <w:suppressLineNumbers w:val="0"/>
        <w:spacing w:before="0" w:beforeAutospacing="1" w:after="0" w:afterAutospacing="1" w:line="578" w:lineRule="exact"/>
        <w:ind w:left="0" w:right="0" w:firstLine="643" w:firstLineChars="200"/>
        <w:rPr>
          <w:rFonts w:hint="eastAsia" w:ascii="楷体" w:hAnsi="楷体" w:eastAsia="楷体" w:cs="楷体"/>
          <w:b/>
          <w:bCs w:val="0"/>
          <w:sz w:val="32"/>
          <w:szCs w:val="32"/>
          <w:lang w:val="en-US"/>
        </w:rPr>
      </w:pPr>
      <w:r>
        <w:rPr>
          <w:rFonts w:hint="eastAsia" w:ascii="楷体" w:hAnsi="楷体" w:eastAsia="楷体" w:cs="楷体"/>
          <w:b/>
          <w:bCs w:val="0"/>
          <w:sz w:val="32"/>
          <w:szCs w:val="32"/>
        </w:rPr>
        <w:t>（二）部门决算中项目绩效自评结果。（如有）</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eastAsia="仿宋_GB2312" w:cs="仿宋_GB2312"/>
          <w:sz w:val="32"/>
          <w:szCs w:val="32"/>
          <w:lang w:val="zh-CN"/>
        </w:rPr>
      </w:pPr>
      <w:r>
        <w:rPr>
          <w:rFonts w:hint="default" w:ascii="仿宋_GB2312" w:eastAsia="仿宋_GB2312" w:cs="仿宋_GB2312"/>
          <w:sz w:val="32"/>
          <w:szCs w:val="32"/>
          <w:lang w:val="zh-CN"/>
        </w:rPr>
        <w:t>本单位今年在省本级部门决算中无项目绩效自评结果反映。</w:t>
      </w:r>
    </w:p>
    <w:p>
      <w:pPr>
        <w:keepNext w:val="0"/>
        <w:keepLines w:val="0"/>
        <w:widowControl/>
        <w:suppressLineNumbers w:val="0"/>
        <w:spacing w:before="0" w:beforeAutospacing="1" w:after="0" w:afterAutospacing="1" w:line="578" w:lineRule="exact"/>
        <w:ind w:left="0" w:right="0" w:firstLine="643" w:firstLineChars="200"/>
        <w:rPr>
          <w:rFonts w:hint="eastAsia" w:ascii="楷体" w:hAnsi="楷体" w:eastAsia="楷体" w:cs="楷体"/>
          <w:b/>
          <w:bCs w:val="0"/>
          <w:sz w:val="32"/>
          <w:szCs w:val="32"/>
          <w:lang w:val="en-US"/>
        </w:rPr>
      </w:pPr>
      <w:r>
        <w:rPr>
          <w:rFonts w:hint="eastAsia" w:ascii="楷体" w:hAnsi="楷体" w:eastAsia="楷体" w:cs="楷体"/>
          <w:b/>
          <w:bCs w:val="0"/>
          <w:sz w:val="32"/>
          <w:szCs w:val="32"/>
        </w:rPr>
        <w:t>（三）财政评价项目绩效评价结果（如有）。</w:t>
      </w:r>
    </w:p>
    <w:p>
      <w:pPr>
        <w:keepNext w:val="0"/>
        <w:keepLines w:val="0"/>
        <w:widowControl/>
        <w:suppressLineNumbers w:val="0"/>
        <w:spacing w:before="0" w:beforeAutospacing="1" w:after="0" w:afterAutospacing="1" w:line="578" w:lineRule="exact"/>
        <w:ind w:left="0" w:right="0" w:firstLine="640" w:firstLineChars="200"/>
        <w:rPr>
          <w:rFonts w:hint="eastAsia" w:ascii="仿宋_GB2312" w:eastAsia="仿宋_GB2312" w:cs="仿宋_GB2312"/>
          <w:sz w:val="32"/>
          <w:szCs w:val="32"/>
          <w:lang w:val="en-US" w:eastAsia="zh-CN"/>
        </w:rPr>
      </w:pPr>
      <w:r>
        <w:rPr>
          <w:rFonts w:hint="default" w:ascii="仿宋_GB2312" w:eastAsia="仿宋_GB2312" w:cs="仿宋_GB2312"/>
          <w:sz w:val="32"/>
          <w:szCs w:val="32"/>
          <w:lang w:val="zh-CN"/>
        </w:rPr>
        <w:t>本单位今年在省本级部门决算中无重点项目绩效评价结果</w:t>
      </w:r>
      <w:r>
        <w:rPr>
          <w:rFonts w:hint="eastAsia" w:ascii="仿宋_GB2312" w:eastAsia="仿宋_GB2312" w:cs="仿宋_GB2312"/>
          <w:sz w:val="32"/>
          <w:szCs w:val="32"/>
          <w:lang w:val="zh-CN"/>
        </w:rPr>
        <w:t>。</w:t>
      </w:r>
    </w:p>
    <w:p>
      <w:pPr>
        <w:keepNext w:val="0"/>
        <w:keepLines w:val="0"/>
        <w:widowControl/>
        <w:suppressLineNumbers w:val="0"/>
        <w:spacing w:before="0" w:beforeAutospacing="1" w:after="0" w:afterAutospacing="1" w:line="578" w:lineRule="exact"/>
        <w:ind w:left="0" w:right="0" w:firstLine="643" w:firstLineChars="200"/>
        <w:rPr>
          <w:rFonts w:hint="eastAsia" w:ascii="楷体" w:hAnsi="楷体" w:eastAsia="楷体" w:cs="楷体"/>
          <w:b/>
          <w:bCs w:val="0"/>
          <w:sz w:val="32"/>
          <w:szCs w:val="32"/>
          <w:lang w:val="en-US"/>
        </w:rPr>
      </w:pPr>
      <w:r>
        <w:rPr>
          <w:rFonts w:hint="eastAsia" w:ascii="楷体" w:hAnsi="楷体" w:eastAsia="楷体" w:cs="楷体"/>
          <w:b/>
          <w:bCs w:val="0"/>
          <w:sz w:val="32"/>
          <w:szCs w:val="32"/>
        </w:rPr>
        <w:t>（四）部门评价项目绩效评价结果。</w:t>
      </w:r>
    </w:p>
    <w:p>
      <w:pPr>
        <w:keepNext w:val="0"/>
        <w:keepLines w:val="0"/>
        <w:widowControl/>
        <w:suppressLineNumbers w:val="0"/>
        <w:spacing w:before="0" w:beforeAutospacing="1" w:after="0" w:afterAutospacing="1"/>
        <w:ind w:left="0" w:right="0" w:firstLine="640" w:firstLineChars="200"/>
        <w:rPr>
          <w:rFonts w:hint="default" w:ascii="仿宋_GB2312" w:eastAsia="仿宋_GB2312" w:cs="仿宋_GB2312"/>
          <w:sz w:val="32"/>
          <w:szCs w:val="32"/>
        </w:rPr>
      </w:pPr>
      <w:r>
        <w:rPr>
          <w:rFonts w:hint="default" w:ascii="仿宋_GB2312" w:eastAsia="仿宋_GB2312" w:cs="仿宋_GB2312"/>
          <w:sz w:val="32"/>
          <w:szCs w:val="32"/>
        </w:rPr>
        <w:t>本单位未纳入万宁市202</w:t>
      </w:r>
      <w:r>
        <w:rPr>
          <w:rFonts w:hint="eastAsia" w:ascii="仿宋_GB2312" w:eastAsia="仿宋_GB2312" w:cs="仿宋_GB2312"/>
          <w:sz w:val="32"/>
          <w:szCs w:val="32"/>
          <w:lang w:val="en-US" w:eastAsia="zh-CN"/>
        </w:rPr>
        <w:t>1</w:t>
      </w:r>
      <w:r>
        <w:rPr>
          <w:rFonts w:hint="default" w:ascii="仿宋_GB2312" w:eastAsia="仿宋_GB2312" w:cs="仿宋_GB2312"/>
          <w:sz w:val="32"/>
          <w:szCs w:val="32"/>
        </w:rPr>
        <w:t>年度绩效自评预算项目，未开展整体支出绩效评价工作。</w:t>
      </w:r>
    </w:p>
    <w:p>
      <w:pPr>
        <w:keepNext w:val="0"/>
        <w:keepLines w:val="0"/>
        <w:widowControl/>
        <w:suppressLineNumbers w:val="0"/>
        <w:spacing w:before="0" w:beforeAutospacing="1" w:after="0" w:afterAutospacing="1"/>
        <w:ind w:left="0" w:right="0" w:firstLine="640" w:firstLineChars="200"/>
        <w:outlineLvl w:val="1"/>
        <w:rPr>
          <w:rFonts w:hint="eastAsia" w:ascii="黑体" w:hAnsi="宋体" w:eastAsia="黑体" w:cs="黑体"/>
          <w:bCs/>
          <w:sz w:val="32"/>
          <w:szCs w:val="32"/>
          <w:lang w:val="en-US"/>
        </w:rPr>
      </w:pPr>
      <w:bookmarkStart w:id="114" w:name="_Toc23839"/>
      <w:r>
        <w:rPr>
          <w:rFonts w:hint="eastAsia" w:ascii="黑体" w:hAnsi="宋体" w:eastAsia="黑体" w:cs="黑体"/>
          <w:bCs/>
          <w:sz w:val="32"/>
          <w:szCs w:val="32"/>
        </w:rPr>
        <w:t>十三、其他重要事项情况说明。</w:t>
      </w:r>
      <w:bookmarkEnd w:id="114"/>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b/>
          <w:bCs w:val="0"/>
          <w:sz w:val="32"/>
          <w:szCs w:val="32"/>
          <w:lang w:val="en-US"/>
        </w:rPr>
      </w:pPr>
      <w:bookmarkStart w:id="115" w:name="_Toc15565_WPSOffice_Level2"/>
      <w:bookmarkStart w:id="116" w:name="_Toc5978_WPSOffice_Level2"/>
      <w:bookmarkStart w:id="117" w:name="_Toc32639_WPSOffice_Level2"/>
      <w:bookmarkStart w:id="118" w:name="_Toc18325_WPSOffice_Level2"/>
      <w:bookmarkStart w:id="119" w:name="_Toc15262_WPSOffice_Level2"/>
      <w:bookmarkStart w:id="120" w:name="_Toc23598_WPSOffice_Level2"/>
      <w:r>
        <w:rPr>
          <w:rFonts w:hint="eastAsia" w:ascii="楷体" w:hAnsi="楷体" w:eastAsia="楷体" w:cs="楷体"/>
          <w:b/>
          <w:bCs w:val="0"/>
          <w:sz w:val="32"/>
          <w:szCs w:val="32"/>
        </w:rPr>
        <w:t>（一）机关运行经费支出情况。</w:t>
      </w:r>
      <w:bookmarkEnd w:id="115"/>
      <w:bookmarkEnd w:id="116"/>
      <w:bookmarkEnd w:id="117"/>
      <w:bookmarkEnd w:id="118"/>
      <w:bookmarkEnd w:id="119"/>
      <w:bookmarkEnd w:id="120"/>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本单位为财政补助差额事业单位，无机关运行经费。</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（机关运行经费预算数字可取自部门决算报表财决</w:t>
      </w:r>
      <w:r>
        <w:rPr>
          <w:rFonts w:hint="default" w:ascii="仿宋_GB2312" w:hAnsi="ˎ̥" w:eastAsia="仿宋_GB2312" w:cs="仿宋_GB2312"/>
          <w:sz w:val="32"/>
          <w:szCs w:val="32"/>
          <w:lang w:val="en-US"/>
        </w:rPr>
        <w:t>01-1</w:t>
      </w:r>
      <w:r>
        <w:rPr>
          <w:rFonts w:hint="default" w:ascii="仿宋_GB2312" w:hAnsi="ˎ̥" w:eastAsia="仿宋_GB2312" w:cs="仿宋_GB2312"/>
          <w:sz w:val="32"/>
          <w:szCs w:val="32"/>
        </w:rPr>
        <w:t>表《财政拨款收入支出决算总表》</w:t>
      </w:r>
      <w:r>
        <w:rPr>
          <w:rFonts w:hint="default" w:ascii="仿宋_GB2312" w:hAnsi="ˎ̥" w:eastAsia="仿宋_GB2312" w:cs="仿宋_GB2312"/>
          <w:sz w:val="32"/>
          <w:szCs w:val="32"/>
          <w:lang w:val="en-US"/>
        </w:rPr>
        <w:t>[61,17]</w:t>
      </w:r>
      <w:r>
        <w:rPr>
          <w:rFonts w:hint="default" w:ascii="仿宋_GB2312" w:hAnsi="ˎ̥" w:eastAsia="仿宋_GB2312" w:cs="仿宋_GB2312"/>
          <w:sz w:val="32"/>
          <w:szCs w:val="32"/>
        </w:rPr>
        <w:t>单元格，即年初预算数</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一般公共预算财政拨款</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公用经费，注意部门汇总公开决算时，因事业单位没有机关运行经费支出，故部门汇总的机关运行经费预算数应为部门所属的各行政单位或参公单位的汇总数；决算数字可取自</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年度部门决算报表</w:t>
      </w:r>
      <w:r>
        <w:rPr>
          <w:rFonts w:hint="default" w:ascii="仿宋_GB2312" w:hAnsi="ˎ̥" w:eastAsia="仿宋_GB2312" w:cs="仿宋_GB2312"/>
          <w:sz w:val="32"/>
          <w:szCs w:val="32"/>
          <w:lang w:val="en-US"/>
        </w:rPr>
        <w:t>F03</w:t>
      </w:r>
      <w:r>
        <w:rPr>
          <w:rFonts w:hint="default" w:ascii="仿宋_GB2312" w:hAnsi="ˎ̥" w:eastAsia="仿宋_GB2312" w:cs="仿宋_GB2312"/>
          <w:sz w:val="32"/>
          <w:szCs w:val="32"/>
        </w:rPr>
        <w:t>表《机构运行信息表》“机关运行经费”栏。）</w:t>
      </w:r>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b/>
          <w:bCs w:val="0"/>
          <w:sz w:val="32"/>
          <w:szCs w:val="32"/>
          <w:lang w:val="en-US"/>
        </w:rPr>
      </w:pPr>
      <w:bookmarkStart w:id="121" w:name="_Toc25333_WPSOffice_Level2"/>
      <w:bookmarkStart w:id="122" w:name="_Toc30383_WPSOffice_Level2"/>
      <w:bookmarkStart w:id="123" w:name="_Toc13084_WPSOffice_Level2"/>
      <w:bookmarkStart w:id="124" w:name="_Toc23966_WPSOffice_Level2"/>
      <w:bookmarkStart w:id="125" w:name="_Toc32689_WPSOffice_Level2"/>
      <w:bookmarkStart w:id="126" w:name="_Toc3131_WPSOffice_Level2"/>
      <w:r>
        <w:rPr>
          <w:rFonts w:hint="eastAsia" w:ascii="楷体" w:hAnsi="楷体" w:eastAsia="楷体" w:cs="楷体"/>
          <w:b/>
          <w:bCs w:val="0"/>
          <w:sz w:val="32"/>
          <w:szCs w:val="32"/>
        </w:rPr>
        <w:t>（二）政府采购支出情况。</w:t>
      </w:r>
      <w:bookmarkEnd w:id="121"/>
      <w:bookmarkEnd w:id="122"/>
      <w:bookmarkEnd w:id="123"/>
      <w:bookmarkEnd w:id="124"/>
      <w:bookmarkEnd w:id="125"/>
      <w:bookmarkEnd w:id="126"/>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color w:val="auto"/>
          <w:sz w:val="32"/>
          <w:szCs w:val="32"/>
          <w:lang w:val="en-US"/>
        </w:rPr>
      </w:pPr>
      <w:r>
        <w:rPr>
          <w:rFonts w:hint="default" w:ascii="仿宋_GB2312" w:hAnsi="ˎ̥" w:eastAsia="仿宋_GB2312" w:cs="仿宋_GB2312"/>
          <w:color w:val="auto"/>
          <w:sz w:val="32"/>
          <w:szCs w:val="32"/>
          <w:lang w:val="en-US"/>
        </w:rPr>
        <w:t>2021</w:t>
      </w:r>
      <w:r>
        <w:rPr>
          <w:rFonts w:hint="default" w:ascii="仿宋_GB2312" w:hAnsi="ˎ̥" w:eastAsia="仿宋_GB2312" w:cs="仿宋_GB2312"/>
          <w:color w:val="auto"/>
          <w:sz w:val="32"/>
          <w:szCs w:val="32"/>
        </w:rPr>
        <w:t>年度部门（单位）政府采购支出总额</w:t>
      </w:r>
      <w:r>
        <w:rPr>
          <w:rFonts w:hint="eastAsia" w:ascii="仿宋_GB2312" w:hAnsi="ˎ̥" w:eastAsia="仿宋_GB2312" w:cs="仿宋_GB2312"/>
          <w:color w:val="auto"/>
          <w:sz w:val="32"/>
          <w:szCs w:val="32"/>
          <w:lang w:val="en-US" w:eastAsia="zh-CN"/>
        </w:rPr>
        <w:t>1.59</w:t>
      </w:r>
      <w:r>
        <w:rPr>
          <w:rFonts w:hint="default" w:ascii="仿宋_GB2312" w:hAnsi="ˎ̥" w:eastAsia="仿宋_GB2312" w:cs="仿宋_GB2312"/>
          <w:color w:val="auto"/>
          <w:sz w:val="32"/>
          <w:szCs w:val="32"/>
        </w:rPr>
        <w:t>万元，其中：政府采购货物支出</w:t>
      </w:r>
      <w:r>
        <w:rPr>
          <w:rFonts w:hint="eastAsia" w:ascii="仿宋_GB2312" w:hAnsi="ˎ̥" w:eastAsia="仿宋_GB2312" w:cs="仿宋_GB2312"/>
          <w:color w:val="auto"/>
          <w:sz w:val="32"/>
          <w:szCs w:val="32"/>
          <w:lang w:val="en-US" w:eastAsia="zh-CN"/>
        </w:rPr>
        <w:t>1.59</w:t>
      </w:r>
      <w:r>
        <w:rPr>
          <w:rFonts w:hint="default" w:ascii="仿宋_GB2312" w:hAnsi="ˎ̥" w:eastAsia="仿宋_GB2312" w:cs="仿宋_GB2312"/>
          <w:color w:val="auto"/>
          <w:sz w:val="32"/>
          <w:szCs w:val="32"/>
        </w:rPr>
        <w:t>万元、政府采购工程支出</w:t>
      </w:r>
      <w:r>
        <w:rPr>
          <w:rFonts w:hint="eastAsia" w:ascii="仿宋_GB2312" w:hAnsi="ˎ̥" w:eastAsia="仿宋_GB2312" w:cs="仿宋_GB2312"/>
          <w:color w:val="auto"/>
          <w:sz w:val="32"/>
          <w:szCs w:val="32"/>
          <w:lang w:val="en-US" w:eastAsia="zh-CN"/>
        </w:rPr>
        <w:t>0</w:t>
      </w:r>
      <w:r>
        <w:rPr>
          <w:rFonts w:hint="default" w:ascii="仿宋_GB2312" w:hAnsi="ˎ̥" w:eastAsia="仿宋_GB2312" w:cs="仿宋_GB2312"/>
          <w:color w:val="auto"/>
          <w:sz w:val="32"/>
          <w:szCs w:val="32"/>
        </w:rPr>
        <w:t>万元、政府采购服务支出</w:t>
      </w:r>
      <w:r>
        <w:rPr>
          <w:rFonts w:hint="eastAsia" w:ascii="仿宋_GB2312" w:hAnsi="ˎ̥" w:eastAsia="仿宋_GB2312" w:cs="仿宋_GB2312"/>
          <w:color w:val="auto"/>
          <w:sz w:val="32"/>
          <w:szCs w:val="32"/>
          <w:lang w:val="en-US" w:eastAsia="zh-CN"/>
        </w:rPr>
        <w:t>0</w:t>
      </w:r>
      <w:r>
        <w:rPr>
          <w:rFonts w:hint="default" w:ascii="仿宋_GB2312" w:hAnsi="ˎ̥" w:eastAsia="仿宋_GB2312" w:cs="仿宋_GB2312"/>
          <w:color w:val="auto"/>
          <w:sz w:val="32"/>
          <w:szCs w:val="32"/>
        </w:rPr>
        <w:t>万元。授予中小企业合同金额</w:t>
      </w:r>
      <w:r>
        <w:rPr>
          <w:rFonts w:hint="eastAsia" w:ascii="仿宋_GB2312" w:hAnsi="ˎ̥" w:eastAsia="仿宋_GB2312" w:cs="仿宋_GB2312"/>
          <w:color w:val="auto"/>
          <w:sz w:val="32"/>
          <w:szCs w:val="32"/>
          <w:lang w:val="en-US" w:eastAsia="zh-CN"/>
        </w:rPr>
        <w:t>0</w:t>
      </w:r>
      <w:r>
        <w:rPr>
          <w:rFonts w:hint="default" w:ascii="仿宋_GB2312" w:hAnsi="ˎ̥" w:eastAsia="仿宋_GB2312" w:cs="仿宋_GB2312"/>
          <w:color w:val="auto"/>
          <w:sz w:val="32"/>
          <w:szCs w:val="32"/>
        </w:rPr>
        <w:t>万元，占政府采购支出总额的</w:t>
      </w:r>
      <w:r>
        <w:rPr>
          <w:rFonts w:hint="eastAsia" w:ascii="仿宋_GB2312" w:hAnsi="ˎ̥" w:eastAsia="仿宋_GB2312" w:cs="仿宋_GB2312"/>
          <w:color w:val="auto"/>
          <w:sz w:val="32"/>
          <w:szCs w:val="32"/>
          <w:lang w:val="en-US" w:eastAsia="zh-CN"/>
        </w:rPr>
        <w:t>0</w:t>
      </w:r>
      <w:r>
        <w:rPr>
          <w:rFonts w:hint="default" w:ascii="仿宋_GB2312" w:hAnsi="ˎ̥" w:eastAsia="仿宋_GB2312" w:cs="仿宋_GB2312"/>
          <w:color w:val="auto"/>
          <w:sz w:val="32"/>
          <w:szCs w:val="32"/>
          <w:lang w:val="en-US"/>
        </w:rPr>
        <w:t>%</w:t>
      </w:r>
      <w:r>
        <w:rPr>
          <w:rFonts w:hint="default" w:ascii="仿宋_GB2312" w:hAnsi="ˎ̥" w:eastAsia="仿宋_GB2312" w:cs="仿宋_GB2312"/>
          <w:color w:val="auto"/>
          <w:sz w:val="32"/>
          <w:szCs w:val="32"/>
        </w:rPr>
        <w:t>，其中：授予小微企业合同金额</w:t>
      </w:r>
      <w:r>
        <w:rPr>
          <w:rFonts w:hint="eastAsia" w:ascii="仿宋_GB2312" w:hAnsi="ˎ̥" w:eastAsia="仿宋_GB2312" w:cs="仿宋_GB2312"/>
          <w:color w:val="auto"/>
          <w:sz w:val="32"/>
          <w:szCs w:val="32"/>
          <w:lang w:val="en-US" w:eastAsia="zh-CN"/>
        </w:rPr>
        <w:t>0</w:t>
      </w:r>
      <w:r>
        <w:rPr>
          <w:rFonts w:hint="default" w:ascii="仿宋_GB2312" w:hAnsi="ˎ̥" w:eastAsia="仿宋_GB2312" w:cs="仿宋_GB2312"/>
          <w:color w:val="auto"/>
          <w:sz w:val="32"/>
          <w:szCs w:val="32"/>
        </w:rPr>
        <w:t>万元，占政府采购支出总额的</w:t>
      </w:r>
      <w:r>
        <w:rPr>
          <w:rFonts w:hint="eastAsia" w:ascii="仿宋_GB2312" w:hAnsi="ˎ̥" w:eastAsia="仿宋_GB2312" w:cs="仿宋_GB2312"/>
          <w:color w:val="auto"/>
          <w:sz w:val="32"/>
          <w:szCs w:val="32"/>
          <w:lang w:val="en-US" w:eastAsia="zh-CN"/>
        </w:rPr>
        <w:t>0</w:t>
      </w:r>
      <w:r>
        <w:rPr>
          <w:rFonts w:hint="default" w:ascii="仿宋_GB2312" w:hAnsi="ˎ̥" w:eastAsia="仿宋_GB2312" w:cs="仿宋_GB2312"/>
          <w:color w:val="auto"/>
          <w:sz w:val="32"/>
          <w:szCs w:val="32"/>
          <w:lang w:val="en-US"/>
        </w:rPr>
        <w:t>%</w:t>
      </w:r>
      <w:r>
        <w:rPr>
          <w:rFonts w:hint="default" w:ascii="仿宋_GB2312" w:hAnsi="ˎ̥" w:eastAsia="仿宋_GB2312" w:cs="仿宋_GB2312"/>
          <w:color w:val="auto"/>
          <w:sz w:val="32"/>
          <w:szCs w:val="32"/>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（上述政府采购支出相关数字取自</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年度部门决算报表</w:t>
      </w:r>
      <w:r>
        <w:rPr>
          <w:rFonts w:hint="default" w:ascii="仿宋_GB2312" w:hAnsi="ˎ̥" w:eastAsia="仿宋_GB2312" w:cs="仿宋_GB2312"/>
          <w:sz w:val="32"/>
          <w:szCs w:val="32"/>
          <w:lang w:val="en-US"/>
        </w:rPr>
        <w:t>F03</w:t>
      </w:r>
      <w:r>
        <w:rPr>
          <w:rFonts w:hint="default" w:ascii="仿宋_GB2312" w:hAnsi="ˎ̥" w:eastAsia="仿宋_GB2312" w:cs="仿宋_GB2312"/>
          <w:sz w:val="32"/>
          <w:szCs w:val="32"/>
        </w:rPr>
        <w:t>表《机构运行信息表》，授予中小企业和小微企业合同金额由各部门查阅本部门相关资料填写。）</w:t>
      </w:r>
    </w:p>
    <w:p>
      <w:pPr>
        <w:keepNext w:val="0"/>
        <w:keepLines w:val="0"/>
        <w:widowControl/>
        <w:suppressLineNumbers w:val="0"/>
        <w:spacing w:before="0" w:beforeAutospacing="1" w:after="0" w:afterAutospacing="1"/>
        <w:ind w:left="0" w:right="0" w:firstLine="643" w:firstLineChars="200"/>
        <w:rPr>
          <w:rFonts w:hint="eastAsia" w:ascii="楷体" w:hAnsi="楷体" w:eastAsia="楷体" w:cs="楷体"/>
          <w:b/>
          <w:bCs w:val="0"/>
          <w:sz w:val="32"/>
          <w:szCs w:val="32"/>
          <w:lang w:val="en-US"/>
        </w:rPr>
      </w:pPr>
      <w:bookmarkStart w:id="127" w:name="_Toc527_WPSOffice_Level2"/>
      <w:bookmarkStart w:id="128" w:name="_Toc10902_WPSOffice_Level2"/>
      <w:bookmarkStart w:id="129" w:name="_Toc6016_WPSOffice_Level2"/>
      <w:bookmarkStart w:id="130" w:name="_Toc19989_WPSOffice_Level2"/>
      <w:bookmarkStart w:id="131" w:name="_Toc29584_WPSOffice_Level2"/>
      <w:bookmarkStart w:id="132" w:name="_Toc15129_WPSOffice_Level2"/>
      <w:r>
        <w:rPr>
          <w:rFonts w:hint="eastAsia" w:ascii="楷体" w:hAnsi="楷体" w:eastAsia="楷体" w:cs="楷体"/>
          <w:b/>
          <w:bCs w:val="0"/>
          <w:sz w:val="32"/>
          <w:szCs w:val="32"/>
        </w:rPr>
        <w:t>（三）国有资产占用情况。</w:t>
      </w:r>
      <w:bookmarkEnd w:id="127"/>
      <w:bookmarkEnd w:id="128"/>
      <w:bookmarkEnd w:id="129"/>
      <w:bookmarkEnd w:id="130"/>
      <w:bookmarkEnd w:id="131"/>
      <w:bookmarkEnd w:id="132"/>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sz w:val="32"/>
          <w:szCs w:val="32"/>
        </w:rPr>
      </w:pPr>
      <w:r>
        <w:rPr>
          <w:rFonts w:hint="default" w:ascii="仿宋_GB2312" w:hAnsi="ˎ̥" w:eastAsia="仿宋_GB2312" w:cs="仿宋_GB2312"/>
          <w:sz w:val="32"/>
          <w:szCs w:val="32"/>
        </w:rPr>
        <w:t>截至</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w:t>
      </w:r>
      <w:r>
        <w:rPr>
          <w:rFonts w:hint="default" w:ascii="仿宋_GB2312" w:hAnsi="ˎ̥" w:eastAsia="仿宋_GB2312" w:cs="仿宋_GB2312"/>
          <w:sz w:val="32"/>
          <w:szCs w:val="32"/>
          <w:lang w:val="en-US"/>
        </w:rPr>
        <w:t>12</w:t>
      </w:r>
      <w:r>
        <w:rPr>
          <w:rFonts w:hint="default" w:ascii="仿宋_GB2312" w:hAnsi="ˎ̥" w:eastAsia="仿宋_GB2312" w:cs="仿宋_GB2312"/>
          <w:sz w:val="32"/>
          <w:szCs w:val="32"/>
        </w:rPr>
        <w:t>月</w:t>
      </w:r>
      <w:r>
        <w:rPr>
          <w:rFonts w:hint="default" w:ascii="仿宋_GB2312" w:hAnsi="ˎ̥" w:eastAsia="仿宋_GB2312" w:cs="仿宋_GB2312"/>
          <w:sz w:val="32"/>
          <w:szCs w:val="32"/>
          <w:lang w:val="en-US"/>
        </w:rPr>
        <w:t>31</w:t>
      </w:r>
      <w:r>
        <w:rPr>
          <w:rFonts w:hint="default" w:ascii="仿宋_GB2312" w:hAnsi="ˎ̥" w:eastAsia="仿宋_GB2312" w:cs="仿宋_GB2312"/>
          <w:sz w:val="32"/>
          <w:szCs w:val="32"/>
        </w:rPr>
        <w:t>日， 本部门占用房屋面积922平方米，其中：办公用房710平方米，业务用房212平方米，其他（不含构筑物）0平方米。</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sz w:val="32"/>
          <w:szCs w:val="32"/>
        </w:rPr>
      </w:pPr>
      <w:r>
        <w:rPr>
          <w:rFonts w:hint="default" w:ascii="仿宋_GB2312" w:hAnsi="ˎ̥" w:eastAsia="仿宋_GB2312" w:cs="仿宋_GB2312"/>
          <w:sz w:val="32"/>
          <w:szCs w:val="32"/>
        </w:rPr>
        <w:t>本部门共有车辆0辆，其中：从车辆种类说明：轿车0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0辆。</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sz w:val="32"/>
          <w:szCs w:val="32"/>
        </w:rPr>
      </w:pPr>
      <w:r>
        <w:rPr>
          <w:rFonts w:hint="default" w:ascii="仿宋_GB2312" w:hAnsi="ˎ̥" w:eastAsia="仿宋_GB2312" w:cs="仿宋_GB2312"/>
          <w:sz w:val="32"/>
          <w:szCs w:val="32"/>
        </w:rPr>
        <w:t>单位价值50万元（含）以上通用设备0台（套），单价100万元（含）以上专用设备0台（套）。</w:t>
      </w:r>
    </w:p>
    <w:p>
      <w:pPr>
        <w:keepNext w:val="0"/>
        <w:keepLines w:val="0"/>
        <w:widowControl/>
        <w:suppressLineNumbers w:val="0"/>
        <w:spacing w:before="0" w:beforeAutospacing="1" w:after="0" w:afterAutospacing="1" w:line="578" w:lineRule="exact"/>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年末在建工程0万元。（上述国有资产占用情况相关数字取自</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年度部门决算</w:t>
      </w:r>
      <w:r>
        <w:rPr>
          <w:rFonts w:hint="default" w:ascii="仿宋_GB2312" w:hAnsi="ˎ̥" w:eastAsia="仿宋_GB2312" w:cs="仿宋_GB2312"/>
          <w:sz w:val="32"/>
          <w:szCs w:val="32"/>
          <w:lang w:val="en-US"/>
        </w:rPr>
        <w:t>F01</w:t>
      </w:r>
      <w:r>
        <w:rPr>
          <w:rFonts w:hint="default" w:ascii="仿宋_GB2312" w:hAnsi="ˎ̥" w:eastAsia="仿宋_GB2312" w:cs="仿宋_GB2312"/>
          <w:sz w:val="32"/>
          <w:szCs w:val="32"/>
        </w:rPr>
        <w:t>表《预算支出相关信息表》、</w:t>
      </w:r>
      <w:r>
        <w:rPr>
          <w:rFonts w:hint="default" w:ascii="仿宋_GB2312" w:hAnsi="ˎ̥" w:eastAsia="仿宋_GB2312" w:cs="仿宋_GB2312"/>
          <w:sz w:val="32"/>
          <w:szCs w:val="32"/>
          <w:lang w:val="en-US"/>
        </w:rPr>
        <w:t>F03</w:t>
      </w:r>
      <w:r>
        <w:rPr>
          <w:rFonts w:hint="default" w:ascii="仿宋_GB2312" w:hAnsi="ˎ̥" w:eastAsia="仿宋_GB2312" w:cs="仿宋_GB2312"/>
          <w:sz w:val="32"/>
          <w:szCs w:val="32"/>
        </w:rPr>
        <w:t>表《机构运行信息表》。）</w:t>
      </w:r>
    </w:p>
    <w:p>
      <w:pPr>
        <w:keepNext w:val="0"/>
        <w:keepLines w:val="0"/>
        <w:widowControl/>
        <w:suppressLineNumbers w:val="0"/>
        <w:spacing w:before="0" w:beforeAutospacing="1" w:after="0" w:afterAutospacing="1"/>
        <w:ind w:left="0" w:right="0"/>
        <w:jc w:val="center"/>
        <w:outlineLvl w:val="0"/>
        <w:rPr>
          <w:rFonts w:hint="eastAsia" w:ascii="黑体" w:hAnsi="ˎ̥" w:eastAsia="黑体" w:cs="黑体"/>
          <w:sz w:val="32"/>
          <w:szCs w:val="32"/>
          <w:lang w:val="en-US"/>
        </w:rPr>
      </w:pPr>
      <w:bookmarkStart w:id="133" w:name="_Toc8808_WPSOffice_Level1"/>
      <w:bookmarkStart w:id="134" w:name="_Toc11039_WPSOffice_Level1"/>
      <w:bookmarkStart w:id="135" w:name="_Toc8874_WPSOffice_Level1"/>
      <w:bookmarkStart w:id="136" w:name="_Toc4398_WPSOffice_Level1"/>
      <w:bookmarkStart w:id="137" w:name="_Toc26980"/>
      <w:bookmarkStart w:id="138" w:name="_Toc15425_WPSOffice_Level1"/>
      <w:bookmarkStart w:id="139" w:name="_Toc17580_WPSOffice_Level1"/>
      <w:r>
        <w:rPr>
          <w:rFonts w:hint="eastAsia" w:ascii="黑体" w:hAnsi="ˎ̥" w:eastAsia="黑体" w:cs="黑体"/>
          <w:sz w:val="32"/>
          <w:szCs w:val="32"/>
        </w:rPr>
        <w:t>第四部分</w:t>
      </w:r>
      <w:r>
        <w:rPr>
          <w:rFonts w:hint="eastAsia" w:ascii="黑体" w:hAnsi="ˎ̥" w:eastAsia="黑体" w:cs="黑体"/>
          <w:sz w:val="32"/>
          <w:szCs w:val="32"/>
          <w:lang w:val="en-US"/>
        </w:rPr>
        <w:t xml:space="preserve">  </w:t>
      </w:r>
      <w:r>
        <w:rPr>
          <w:rFonts w:hint="eastAsia" w:ascii="黑体" w:hAnsi="ˎ̥" w:eastAsia="黑体" w:cs="黑体"/>
          <w:sz w:val="32"/>
          <w:szCs w:val="32"/>
        </w:rPr>
        <w:t>名词解释</w:t>
      </w:r>
      <w:bookmarkEnd w:id="133"/>
      <w:bookmarkEnd w:id="134"/>
      <w:bookmarkEnd w:id="135"/>
      <w:bookmarkEnd w:id="136"/>
      <w:bookmarkEnd w:id="137"/>
      <w:bookmarkEnd w:id="138"/>
      <w:bookmarkEnd w:id="139"/>
    </w:p>
    <w:p>
      <w:pPr>
        <w:keepNext w:val="0"/>
        <w:keepLines w:val="0"/>
        <w:widowControl/>
        <w:numPr>
          <w:ilvl w:val="0"/>
          <w:numId w:val="0"/>
        </w:numPr>
        <w:suppressLineNumbers w:val="0"/>
        <w:spacing w:before="0" w:beforeAutospacing="1" w:after="0" w:afterAutospacing="1"/>
        <w:ind w:leftChars="200" w:right="0" w:rightChars="0"/>
        <w:outlineLvl w:val="9"/>
        <w:rPr>
          <w:rFonts w:hint="default" w:ascii="仿宋_GB2312" w:hAnsi="ˎ̥" w:eastAsia="仿宋_GB2312" w:cs="仿宋_GB2312"/>
          <w:sz w:val="32"/>
          <w:szCs w:val="32"/>
          <w:lang w:val="en-US"/>
        </w:rPr>
      </w:pPr>
      <w:bookmarkStart w:id="140" w:name="_Toc7285"/>
      <w:r>
        <w:rPr>
          <w:rFonts w:hint="eastAsia" w:ascii="仿宋_GB2312" w:hAnsi="ˎ̥" w:eastAsia="仿宋_GB2312" w:cs="仿宋_GB2312"/>
          <w:sz w:val="32"/>
          <w:szCs w:val="32"/>
          <w:lang w:val="en-US" w:eastAsia="zh-CN"/>
        </w:rPr>
        <w:t>一、</w:t>
      </w:r>
      <w:r>
        <w:rPr>
          <w:rFonts w:hint="default" w:ascii="仿宋_GB2312" w:hAnsi="ˎ̥" w:eastAsia="仿宋_GB2312" w:cs="仿宋_GB2312"/>
          <w:sz w:val="32"/>
          <w:szCs w:val="32"/>
        </w:rPr>
        <w:t>财政拨款收入：指同级政府财政部门当年拨付的各类财政拨款。</w:t>
      </w:r>
      <w:bookmarkEnd w:id="140"/>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二、上级补助收入：指事业单位从主管部门和上级单位取得的非财政补助收入。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三、事业收入：指事业单位开展专业业务活动及辅助活动取得的收入。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五、附属单位上缴收入：指事业单位取得附属独立核算单位根据有关规定上缴的收入。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六、其他收入：指除上述“财政拨款收入”“事业收入”“上级补助收入”“经营收入”“附属单位上缴收入”等以外的收入。</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八、年初结转和结余：指以前年度尚未完成、结转到本年按有关规定继续使用的资金。</w:t>
      </w:r>
    </w:p>
    <w:p>
      <w:pPr>
        <w:keepNext w:val="0"/>
        <w:keepLines w:val="0"/>
        <w:widowControl/>
        <w:suppressLineNumbers w:val="0"/>
        <w:spacing w:before="0" w:beforeAutospacing="1" w:after="0" w:afterAutospacing="1"/>
        <w:ind w:left="0" w:right="0" w:firstLine="640" w:firstLineChars="200"/>
        <w:outlineLvl w:val="9"/>
        <w:rPr>
          <w:rFonts w:hint="default" w:ascii="仿宋_GB2312" w:hAnsi="ˎ̥" w:eastAsia="仿宋_GB2312" w:cs="仿宋_GB2312"/>
          <w:sz w:val="32"/>
          <w:szCs w:val="32"/>
          <w:lang w:val="en-US"/>
        </w:rPr>
      </w:pPr>
      <w:bookmarkStart w:id="141" w:name="_Toc30294"/>
      <w:r>
        <w:rPr>
          <w:rFonts w:hint="default" w:ascii="仿宋_GB2312" w:hAnsi="ˎ̥" w:eastAsia="仿宋_GB2312" w:cs="仿宋_GB2312"/>
          <w:sz w:val="32"/>
          <w:szCs w:val="32"/>
        </w:rPr>
        <w:t>九、结余分配：指事业单位按规定提取的专用基金和缴纳的所得税。</w:t>
      </w:r>
      <w:bookmarkEnd w:id="141"/>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十、年末结转和结余：指本年度或以前年度预算安排、因客观条件发生变化无法按原计划实施，需要延迟到以后年度按有关规定继续使用的资金。</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十一、基本支出：指为保障机构正常运转、完成日常工作任务而发生的人员支出和公用支出。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十二、项目支出：指在基本支出之外为完成特定行政任务和事业发展目标所发生的支出。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十三、经营支出：指事业单位在专业业务活动及其辅助活动之外开展非独立核算经营活动发生的支出。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spacing w:before="0" w:beforeAutospacing="1" w:after="0" w:afterAutospacing="1"/>
        <w:ind w:left="0" w:right="0" w:firstLine="645"/>
        <w:rPr>
          <w:rFonts w:hint="default" w:ascii="仿宋_GB2312" w:hAnsi="ˎ̥" w:eastAsia="仿宋_GB2312" w:cs="仿宋_GB2312"/>
          <w:sz w:val="32"/>
          <w:szCs w:val="32"/>
          <w:lang w:val="en-US"/>
        </w:rPr>
      </w:pPr>
      <w:r>
        <w:rPr>
          <w:rFonts w:hint="default" w:ascii="仿宋_GB2312" w:hAnsi="ˎ̥" w:eastAsia="仿宋_GB2312" w:cs="仿宋_GB2312"/>
          <w:sz w:val="32"/>
          <w:szCs w:val="32"/>
        </w:rPr>
        <w:t>（支出功能分类的名词解释，各部门（单位）根据实际支出情况填列，可参阅财政部印发的《</w:t>
      </w: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年政府收支分类科目》）</w:t>
      </w:r>
    </w:p>
    <w:p>
      <w:pPr>
        <w:keepNext w:val="0"/>
        <w:keepLines w:val="0"/>
        <w:widowControl/>
        <w:suppressLineNumbers w:val="0"/>
        <w:spacing w:before="0" w:beforeAutospacing="1" w:after="0" w:afterAutospacing="1"/>
        <w:ind w:left="0" w:right="0"/>
        <w:rPr>
          <w:rFonts w:hint="default" w:ascii="仿宋_GB2312" w:hAnsi="ˎ̥" w:eastAsia="仿宋_GB2312" w:cs="仿宋_GB2312"/>
          <w:sz w:val="32"/>
          <w:szCs w:val="32"/>
          <w:lang w:val="en-US"/>
        </w:rPr>
      </w:pPr>
      <w:r>
        <w:rPr>
          <w:rFonts w:hint="default" w:ascii="仿宋_GB2312" w:hAnsi="ˎ̥" w:eastAsia="仿宋_GB2312" w:cs="仿宋_GB2312"/>
          <w:sz w:val="32"/>
          <w:szCs w:val="32"/>
        </w:rPr>
        <w:t>……</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YjQ0N2M2NmViYThhMjM5MDAzOTQ0M2RiOWRmNTEifQ=="/>
  </w:docVars>
  <w:rsids>
    <w:rsidRoot w:val="00000000"/>
    <w:rsid w:val="063A7E42"/>
    <w:rsid w:val="14B64AA0"/>
    <w:rsid w:val="1A6D0416"/>
    <w:rsid w:val="2DD13BD5"/>
    <w:rsid w:val="469B76FC"/>
    <w:rsid w:val="46E14C12"/>
    <w:rsid w:val="63F5146C"/>
    <w:rsid w:val="71FE73C4"/>
    <w:rsid w:val="7A6F19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2">
    <w:name w:val="WPSOffice手动目录 1"/>
    <w:uiPriority w:val="0"/>
    <w:pPr>
      <w:ind w:leftChars="0"/>
    </w:pPr>
    <w:rPr>
      <w:rFonts w:ascii="Times New Roman" w:hAnsi="Times New Roman" w:eastAsia="宋体" w:cs="Times New Roman"/>
      <w:sz w:val="20"/>
      <w:szCs w:val="20"/>
    </w:rPr>
  </w:style>
  <w:style w:type="paragraph" w:customStyle="1" w:styleId="13">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21</Pages>
  <Words>7116</Words>
  <Characters>7834</Characters>
  <TotalTime>16</TotalTime>
  <ScaleCrop>false</ScaleCrop>
  <LinksUpToDate>false</LinksUpToDate>
  <CharactersWithSpaces>7972</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2022-10-21T12:04:00Z</dcterms:created>
  <dc:creator>Administrator</dc:creator>
  <cp:lastModifiedBy>媛大牛</cp:lastModifiedBy>
  <dcterms:modified xsi:type="dcterms:W3CDTF">2022-11-08T08:39:17Z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87301DBAA7D94F6DB4A6E11820499D66</vt:lpwstr>
  </property>
</Properties>
</file>