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highlight w:val="none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highlight w:val="none"/>
          <w:vertAlign w:val="baseline"/>
          <w:lang w:val="en-US" w:eastAsia="zh-CN" w:bidi="ar-SA"/>
        </w:rPr>
        <w:t>万宁市第三批市场准入准营改革事项（准入承诺即入事项）清单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highlight w:val="none"/>
          <w:vertAlign w:val="baseline"/>
          <w:lang w:val="en-US" w:eastAsia="zh-CN" w:bidi="ar-SA"/>
        </w:rPr>
      </w:pPr>
    </w:p>
    <w:tbl>
      <w:tblPr>
        <w:tblStyle w:val="6"/>
        <w:tblW w:w="15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410"/>
        <w:gridCol w:w="1845"/>
        <w:gridCol w:w="1125"/>
        <w:gridCol w:w="3541"/>
        <w:gridCol w:w="620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承诺即入事项 （经营范围表述）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相关行政许可（审批）</w:t>
            </w:r>
          </w:p>
        </w:tc>
        <w:tc>
          <w:tcPr>
            <w:tcW w:w="3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申请人承诺事项</w:t>
            </w:r>
          </w:p>
        </w:tc>
        <w:tc>
          <w:tcPr>
            <w:tcW w:w="6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改革措施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许可（审批）名称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实施机关</w:t>
            </w:r>
          </w:p>
        </w:tc>
        <w:tc>
          <w:tcPr>
            <w:tcW w:w="3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6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麻醉药品精神药品邮寄证明核发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麻醉药品精神药品邮寄证明核发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《麻醉药品和精神药品管理条例》（国务院令第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54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条）；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达到法定条件前不从事麻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醉药品精神药品邮寄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1.制作告知承诺书和现场自查表，并向申请人提供示范文本，一次性告知审批条件和所需材料。对申请人承诺符合审批条件并提交材料完整准确的，当场发放许可证书。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麻醉药品和第一类精神药品运输证明核发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麻醉药品和第一类精神药品运输证明核发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1.《麻醉药品和精神药品管理条例》（国务院令第52条）；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2.达到法定条件前不从事麻醉药品和第一类精神药品运输；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3.如违反承诺，承担一切法律后果。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1.制作告知承诺书和现场自查表，并向申请人提供示范文本，一次性告知审批条件和所需材料。对申请人承诺符合审批条件并提交材料完整准确的，当场发放许可证书。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集中式供水单位卫生许可证延续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集中式供水单位卫生许可证延续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符合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《生活饮用水卫生监督管理办法》（1996年7月9日建设部、卫生部令第53号发布）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规定条件；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达到法定条件前不从事社会活动；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1.制作告知承诺书和现场自查表，并向申请人提供示范文本，一次性告知审批条件和所需材料。对申请人承诺符合审批条件并提交材料完整准确的，当场发放许可证书。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3.行政审批部门60日内完成全面检查，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发现实际情况与承诺内容不符的，依法撤销许可并移送执法部门予以从重处罚。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市卫生健康委员会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u w:val="none"/>
          <w:vertAlign w:val="baseline"/>
          <w:lang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587" w:right="1134" w:bottom="1134" w:left="1134" w:header="851" w:footer="992" w:gutter="0"/>
          <w:pgNumType w:fmt="numberInDash" w:start="4"/>
          <w:cols w:space="0" w:num="1"/>
          <w:titlePg/>
          <w:rtlGutter w:val="0"/>
          <w:docGrid w:type="lines" w:linePitch="319" w:charSpace="0"/>
        </w:sectPr>
      </w:pPr>
    </w:p>
    <w:tbl>
      <w:tblPr>
        <w:tblStyle w:val="6"/>
        <w:tblW w:w="15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410"/>
        <w:gridCol w:w="1845"/>
        <w:gridCol w:w="1125"/>
        <w:gridCol w:w="3541"/>
        <w:gridCol w:w="620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承诺即入事项 （经营范围表述）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相关行政许可（审批）</w:t>
            </w:r>
          </w:p>
        </w:tc>
        <w:tc>
          <w:tcPr>
            <w:tcW w:w="3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申请人承诺事项</w:t>
            </w:r>
          </w:p>
        </w:tc>
        <w:tc>
          <w:tcPr>
            <w:tcW w:w="6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改革措施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许可（审批）名称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实施机关</w:t>
            </w:r>
          </w:p>
        </w:tc>
        <w:tc>
          <w:tcPr>
            <w:tcW w:w="3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6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二次供水单位卫生许可证变更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二次供水单位卫生许可证变更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符合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《生活饮用水卫生监督管理办法》（1996年7月9日建设部、卫生部令第53号发布）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规定条件；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达到法定条件前不从事社会活动；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1.制作告知承诺书和现场自查表，并向申请人提供示范文本，一次性告知审批条件和所需材料。对申请人承诺符合审批条件并提交材料完整准确的，当场发放许可证书。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3.行政审批部门60日内完成全面检查，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发现实际情况与承诺内容不符的，依法撤销许可并移送执法部门予以从重处罚。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二次供水单位卫生许可证延续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二次供水单位卫生许可证延续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符合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《生活饮用水卫生监督管理办法》（1996年7月9日建设部、卫生部令第53号发布）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规定条件；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达到法定条件前不从事社会活动；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1.制作告知承诺书和现场自查表，并向申请人提供示范文本，一次性告知审批条件和所需材料。对申请人承诺符合审批条件并提交材料完整准确的，当场发放许可证书。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3.行政审批部门60日内完成全面检查，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发现实际情况与承诺内容不符的，依法撤销许可并移送执法部门予以从重处罚。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放射诊疗许可证注销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放射诊疗许可证注销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根据《放射诊疗管理规定》第十八条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该事项无需现场核查，主要以材料审查为主，风险可控，因此改为告知承诺制。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放射诊疗许可证补办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放射诊疗许可证补办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根据《放射诊疗管理规定》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该事项无需现场核查，主要以材料审查为主，风险可控，因此改为告知承诺制。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承诺即入事项 （经营范围表述）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相关行政许可（审批）</w:t>
            </w:r>
          </w:p>
        </w:tc>
        <w:tc>
          <w:tcPr>
            <w:tcW w:w="3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申请人承诺事项</w:t>
            </w:r>
          </w:p>
        </w:tc>
        <w:tc>
          <w:tcPr>
            <w:tcW w:w="6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改革措施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许可（审批）名称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实施机关</w:t>
            </w:r>
          </w:p>
        </w:tc>
        <w:tc>
          <w:tcPr>
            <w:tcW w:w="3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6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医疗机构发布广告审查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医疗机构发布广告审查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1.根据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《医疗广告管理办法》第六、七、八、十三条；《中华人民共和国中医药条例 》、《广告法》第十五、十六、十七条；《中华人民共和国中医药条例 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1.制作告知承诺书和现场自查表，并向申请人提供示范文本，一次性告知审批条件和所需材料。对申请人承诺符合审批条件并提交材料完整准确的，当场发放“医疗广告审查证明”。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输卵管和输精管复通术审批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输卵管和输精管复通术审批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根据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2021年12月30日海南省第六届人民代表大会常务委员会第三十二次会议《关于修改&lt;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海南省人口与计划生育条例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&gt;第二件法规的决定》第四次修正第二十一条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1.制作告知承诺书和现场自查表，并向申请人提供示范文本，一次性告知审批条件和所需材料。对申请人承诺符合审批条件并提交材料完整准确的，当场发放介绍信。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2.申请人达到法定条件前，不得进行输卵管与输精管复通术。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医疗机构执业登记变更（法人变更）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医疗机构执业登记变更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根据《医疗机构管理条例》第二十四条；《医疗机构管理条例实施细则》第三十条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达到法定条件前不从事社会活动；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1.制作告知承诺书和现场自查表，并向申请人提供示范文本，一次性告知审批条件和所需材料。对申请人承诺符合审批条件并提交材料完整准确的，当场发放许可证书。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3.行政审批部门60日内完成全面检查，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发现实际情况与承诺内容不符的，依法撤销许可并移送执法部门予以从重处罚。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承诺即入事项 （经营范围表述）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相关行政许可（审批）</w:t>
            </w:r>
          </w:p>
        </w:tc>
        <w:tc>
          <w:tcPr>
            <w:tcW w:w="3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申请人承诺事项</w:t>
            </w:r>
          </w:p>
        </w:tc>
        <w:tc>
          <w:tcPr>
            <w:tcW w:w="6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改革措施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许可（审批）名称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实施机关</w:t>
            </w:r>
          </w:p>
        </w:tc>
        <w:tc>
          <w:tcPr>
            <w:tcW w:w="3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6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电影放映单位设立审批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电影放映单位设立审批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1.《中华人民共和国电影产业促进法》（2016年11月7日第十二届全国人民代表大会常务委员会第二十四次会议通过）第二十五条 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2.达到法定条件前不从事经营活动；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1.制作告知承诺书和现场自查表，并向申请人提供示范文本，一次性告知审批条件和所需材料。先完成利害关系公告后，对申请人承诺符合审批条件并提交材料完整准确的，当场发放许可证书。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3.行政审批部门60日内完成全面检查，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发现实际情况与承诺内容不符的，依法撤销许可并移送执法部门予以从重处罚。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临时占用城市道路和城市道路设施审批(非工程建设项目)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临时占用城市道路和城市道路设施审批(非工程建设项目)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《城市道路管理条例》（1996年6月4日国务院令第198号，2011年1月1日予以修改）第三十条、第三十一条、第三十三条；城市道路管理条例》（1996年6月4日国务院令第198号，2011年1月1日予以修改）第二十九条；《国务院对确需保留的行政审批项目设定行政许可的决定》（2004年6月29日国务院令第412号，2009年1月29日予以修改）附件第109项；《国务院关于印发清理规范投资项目报建审批事项实施方案的通知》(国发〔2016〕29号)第二条第（二）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2.达到法定条件前不从事经营活动；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1.制作告知承诺书，并向申请人提供示范文本，一次性告知审批条件和所需材料。先完成利害关系公告后，对申请人承诺符合审批条件并提交材料完整准确的，当场发放许可证书。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市综合行政执法局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承诺即入事项 （经营范围表述）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相关行政许可（审批）</w:t>
            </w:r>
          </w:p>
        </w:tc>
        <w:tc>
          <w:tcPr>
            <w:tcW w:w="3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申请人承诺事项</w:t>
            </w:r>
          </w:p>
        </w:tc>
        <w:tc>
          <w:tcPr>
            <w:tcW w:w="6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改革措施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许可（审批）名称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实施机关</w:t>
            </w:r>
          </w:p>
        </w:tc>
        <w:tc>
          <w:tcPr>
            <w:tcW w:w="3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6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道路普通货运经营者《道路运输经营许可证》补发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道路普通货运经营者《道路运输经营许可证》补发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1.《道路运输管理工作规范》（交运便字〔2014〕181号）第十四章第一节第四条；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2.达到法定条件前不从事经营活动；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1.制作告知承诺书，并向申请人提供示范文本，一次性告知审批条件和所需材料。先完成利害关系公告后，对申请人承诺符合审批条件并提交材料完整准确的，当场发放许可证书。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2.货运驾驶员需要考取专门的驾驶证，货车车辆需要定期接受年检检测，检测把关，可以有效控制风险。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道路普通货运经营者《道路运输经营许可证》换发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道路普通货运经营者《道路运输经营许可证》换发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1.《道路运输管理工作规范》（交运便字〔2014〕181号）第十四章第一节第四条；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2.达到法定条件前不从事经营活动；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1.制作告知承诺书，并向申请人提供示范文本，一次性告知审批条件和所需材料。先完成利害关系公告后，对申请人承诺符合审批条件并提交材料完整准确的，当场发放许可证书。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2.货运驾驶员需要考取专门的驾驶证，货车车辆需要定期接受年检检测，检测把关，可以有效控制风险。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换发《道路运输经营许可证》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换发《道路运输经营许可证》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1.《道路运输管理工作规范》（交运便字〔2014〕181号）第十四章第一节第四条；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2.达到法定条件前不从事经营活动；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1.制作告知承诺书，并向申请人提供示范文本，一次性告知审批条件和所需材料。先完成利害关系公告后，对申请人承诺符合审批条件并提交材料完整准确的，当场发放许可证书。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2.货运驾驶员需要考取专门的驾驶证，货车车辆需要定期接受年检检测，检测把关，可以有效控制风险。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补发《道路运输经营许可证》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补发《道路运输经营许可证》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1.《道路运输管理工作规范》（交运便字〔2014〕181号）第十四章第一节第四条；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2.达到法定条件前不从事经营活动；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1.制作告知承诺书，并向申请人提供示范文本，一次性告知审批条件和所需材料。先完成利害关系公告后，对申请人承诺符合审批条件并提交材料完整准确的，当场发放许可证书。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2.货运驾驶员需要考取专门的驾驶证，货车车辆需要定期接受年检检测，检测把关，可以有效控制风险。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道路普通货运企业终止经营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道路普通货运企业终止经营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1.《道路货物运输及站场管理规定》（交通运输部令2019年第17号） 部门规章第十七条；《道路运输管理工作规范》（交运便字〔2014〕181号）第三章第一节第八条；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2.如违反承诺，承担一切法律后果。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该事项无需现场核查，主要以材料审查为主，风险可控，因此改为告知承诺制。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承诺即入事项 （经营范围表述）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相关行政许可（审批）</w:t>
            </w:r>
          </w:p>
        </w:tc>
        <w:tc>
          <w:tcPr>
            <w:tcW w:w="3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申请人承诺事项</w:t>
            </w:r>
          </w:p>
        </w:tc>
        <w:tc>
          <w:tcPr>
            <w:tcW w:w="6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改革措施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许可（审批）名称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实施机关</w:t>
            </w:r>
          </w:p>
        </w:tc>
        <w:tc>
          <w:tcPr>
            <w:tcW w:w="3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6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1.符合《城镇排水与污水处理条例》第二十一条；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2.达到法定排放条件前不向市政污水管道排放；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3.雨污分流；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4.排放的水质水量符合标准。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制作告知承诺书，并向申请人提供示范文本，一次性告知审批条件和所需材料。对申请人承诺符合审批条件并提交材料完整准确的，当场发放许可证书。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加强事中事后监管，主管部门实行全覆盖例行检查，发现实际情况与承诺内容不符的，依法撤销许可并予以从重处罚。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海洋捕捞辅助船的审批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海洋捕捞辅助船的审批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1.符合《中华人民共和国渔业法》、《海南省实施&lt;中华人民共和国渔业法&gt;办法》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、《海南省捕捞辅助船管理暂行办法》规定条件；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2.达到法定条件前不从事社会活动；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3.如违反承诺，承担一切法律后果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1.制作告知承诺书，并向申请人提供示范文本，一次性告知审批条件和所需材料。对申请人承诺符合审批条件并提交材料完整准确的，当场批准。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3.主管部门60日内完成全面检查，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发现实际情况与承诺内容不符的，依法撤销许可并移送执法部门予以从重处罚。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二级及以下渔业船员证书核发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二级及以下渔业船员证书核发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《中华人民共和国渔业船员管理办法》第二章第四条；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渔业船员实行持证上岗制度，未达到法定条件前不从事渔业船舶工作；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1.制作告知承诺书，并向申请人提供示范文本，一次性告知审批条件和所需材料。对申请人承诺符合审批条件并提交材料完整准确的，当场发放许可证书。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2.申请人达到法定条件前，不得从事相关渔业船舶工作。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.加强事中事后监管，主管部门实行全覆盖例行检查，发现实际情况与承诺内容不符的，依法撤销许可并予以从重处罚。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承诺即入事项 （经营范围表述）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相关行政许可（审批）</w:t>
            </w:r>
          </w:p>
        </w:tc>
        <w:tc>
          <w:tcPr>
            <w:tcW w:w="3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申请人承诺事项</w:t>
            </w:r>
          </w:p>
        </w:tc>
        <w:tc>
          <w:tcPr>
            <w:tcW w:w="6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改革措施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许可（审批）名称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实施机关</w:t>
            </w:r>
          </w:p>
        </w:tc>
        <w:tc>
          <w:tcPr>
            <w:tcW w:w="3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6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调运植物检疫证书核发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调运植物检疫证书核发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符合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《植物检疫条例）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规定条件；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达到法定条件前不从事调运植物活动；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1.制作告知承诺书，并向申请人提供示范文本，一次性告知审批条件和所需材料。对申请人承诺符合审批条件并提交材料完整准确的，当场发放许可证书。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2.申请人达到法定条件前，不得从事相关调运植物活动。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3.主管部门开展“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双随机、一公开”核查，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发现实际情况与承诺内容不符的，依法撤销许可并移送执法部门予以从重处罚。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.加强事中事后监管，主管部门实行全覆盖例行检查，发现实际情况与承诺内容不符的，依法撤销许可并予以从重处罚。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市自然资源与规划局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陆生野生动物及其制品经营许可初审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陆生野生动物及其制品经营许可初审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符合《海南省实施&lt;中华人民共和国野生动物保护法&gt;办法》规定条件；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达到法定条件前不从事经营活动；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1.制作告知承诺书，并向申请人提供示范文本，一次性告知审批条件和所需材料。对申请人承诺符合审批条件并提交材料完整准确的，当场出具初审意见。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2.申请人达到法定条件前，不得从事相关经营活动。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3.主管部门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加强事中事后监管，实行全覆盖例行检查，发现实际情况与承诺内容不符的，依法撤销许可并予以从重处罚。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市自然资源与规划局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《建设工程规划许可证》建设单位更名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《建设工程规划许可证》建设单位更名 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符合《海南省城乡规划条例》规定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制作告知承诺书，并向申请人提供示范文本，一次性告知审批条件和所需材料。对申请人承诺符合审批条件并提交材料完整准确的，核定后发放许可证书。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加强事中事后监管，主管部门实行全覆盖例行检查，发现实际情况与承诺内容不符的，依法撤销许可并予以从重处罚。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市自然资源与规划局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承诺即入事项 （经营范围表述）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相关行政许可（审批）</w:t>
            </w:r>
          </w:p>
        </w:tc>
        <w:tc>
          <w:tcPr>
            <w:tcW w:w="3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申请人承诺事项</w:t>
            </w:r>
          </w:p>
        </w:tc>
        <w:tc>
          <w:tcPr>
            <w:tcW w:w="6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改革措施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许可（审批）名称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实施机关</w:t>
            </w:r>
          </w:p>
        </w:tc>
        <w:tc>
          <w:tcPr>
            <w:tcW w:w="3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6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《建设工程规划许可证》（市政基础工程外线专用）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《建设工程规划许可证》（市政基础工程外线专用）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符合《海南省城乡规划条例》规定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制作告知承诺书，并向申请人提供示范文本，一次性告知审批条件和所需材料。对申请人承诺符合审批条件并提交材料完整准确的，核定后发放许可证书。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加强事中事后监管，主管部门实行全覆盖例行检查，发现实际情况与承诺内容不符的，依法撤销许可并予以从重处罚。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市自然资源与规划局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《建设工程规划许可证》延期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《建设工程规划许可证》延期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市行政审批服务局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符合《海南省城乡规划条例》第四十七条款规定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如违反承诺，承担一切法律后果。</w:t>
            </w:r>
          </w:p>
        </w:tc>
        <w:tc>
          <w:tcPr>
            <w:tcW w:w="6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制作告知承诺书，并向申请人提供示范文本，一次性告知审批条件和所需材料。对申请人承诺符合审批条件并提交材料完整准确的，核定后发放许可证书。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加强事中事后监管，主管部门实行全覆盖例行检查，发现实际情况与承诺内容不符的，依法撤销许可并予以从重处罚。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3.将失信主体列入黑名单管理，开展联合惩戒。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市自然资源与规划局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headerReference r:id="rId7" w:type="first"/>
      <w:footerReference r:id="rId9" w:type="first"/>
      <w:footerReference r:id="rId8" w:type="default"/>
      <w:pgSz w:w="16838" w:h="11906" w:orient="landscape"/>
      <w:pgMar w:top="1587" w:right="1134" w:bottom="1134" w:left="1134" w:header="851" w:footer="992" w:gutter="0"/>
      <w:pgNumType w:fmt="numberInDash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OGA044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LqMOCs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H+OrRE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iRJeMQIAAGE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MIkSXj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default" w:ascii="黑体" w:hAnsi="黑体" w:eastAsia="黑体" w:cs="黑体"/>
        <w:sz w:val="32"/>
        <w:szCs w:val="32"/>
        <w:lang w:eastAsia="zh-CN"/>
      </w:rPr>
    </w:pPr>
    <w:r>
      <w:rPr>
        <w:rFonts w:hint="default" w:ascii="黑体" w:hAnsi="黑体" w:eastAsia="黑体" w:cs="黑体"/>
        <w:sz w:val="32"/>
        <w:szCs w:val="32"/>
        <w:lang w:eastAsia="zh-CN"/>
      </w:rPr>
      <w:br w:type="textWrapping"/>
    </w:r>
    <w:r>
      <w:rPr>
        <w:rFonts w:hint="default" w:ascii="黑体" w:hAnsi="黑体" w:eastAsia="黑体" w:cs="黑体"/>
        <w:sz w:val="32"/>
        <w:szCs w:val="32"/>
        <w:lang w:eastAsia="zh-CN"/>
      </w:rPr>
      <w:t>附件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default" w:ascii="黑体" w:hAnsi="黑体" w:eastAsia="黑体" w:cs="黑体"/>
        <w:sz w:val="32"/>
        <w:szCs w:val="32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C7573B"/>
    <w:multiLevelType w:val="singleLevel"/>
    <w:tmpl w:val="81C757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4FD561F"/>
    <w:multiLevelType w:val="singleLevel"/>
    <w:tmpl w:val="84FD56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227B115"/>
    <w:multiLevelType w:val="singleLevel"/>
    <w:tmpl w:val="D227B1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727DF"/>
    <w:rsid w:val="00760733"/>
    <w:rsid w:val="007C2BFD"/>
    <w:rsid w:val="01C15D55"/>
    <w:rsid w:val="02365A86"/>
    <w:rsid w:val="04A61982"/>
    <w:rsid w:val="04EF54A7"/>
    <w:rsid w:val="05D05919"/>
    <w:rsid w:val="06091689"/>
    <w:rsid w:val="06FF3D98"/>
    <w:rsid w:val="07086BDC"/>
    <w:rsid w:val="08261786"/>
    <w:rsid w:val="0A157D0A"/>
    <w:rsid w:val="0A923476"/>
    <w:rsid w:val="0B9D5180"/>
    <w:rsid w:val="0C121E7A"/>
    <w:rsid w:val="0C1A42CF"/>
    <w:rsid w:val="0C1E12AC"/>
    <w:rsid w:val="0CAA5567"/>
    <w:rsid w:val="0CB67795"/>
    <w:rsid w:val="0D294D61"/>
    <w:rsid w:val="0DA037E9"/>
    <w:rsid w:val="0DFD328B"/>
    <w:rsid w:val="0F174CEA"/>
    <w:rsid w:val="1042637C"/>
    <w:rsid w:val="11DE08A1"/>
    <w:rsid w:val="134D06F7"/>
    <w:rsid w:val="141447ED"/>
    <w:rsid w:val="14454274"/>
    <w:rsid w:val="14B51AA3"/>
    <w:rsid w:val="14C96F25"/>
    <w:rsid w:val="15445CF2"/>
    <w:rsid w:val="154618A2"/>
    <w:rsid w:val="157A3B05"/>
    <w:rsid w:val="15E4277A"/>
    <w:rsid w:val="16441837"/>
    <w:rsid w:val="164D4DF0"/>
    <w:rsid w:val="16A8082D"/>
    <w:rsid w:val="16B5026C"/>
    <w:rsid w:val="16F7237C"/>
    <w:rsid w:val="16FE7EC0"/>
    <w:rsid w:val="1749467F"/>
    <w:rsid w:val="17BE3992"/>
    <w:rsid w:val="17CC0014"/>
    <w:rsid w:val="188325C7"/>
    <w:rsid w:val="19132A1E"/>
    <w:rsid w:val="199F2879"/>
    <w:rsid w:val="19AF2DED"/>
    <w:rsid w:val="19EC53FF"/>
    <w:rsid w:val="1A774E2E"/>
    <w:rsid w:val="1BCF3075"/>
    <w:rsid w:val="1CFC16AE"/>
    <w:rsid w:val="1DDBEA96"/>
    <w:rsid w:val="1DE71925"/>
    <w:rsid w:val="1E0933DC"/>
    <w:rsid w:val="1E9727B8"/>
    <w:rsid w:val="1EA91ADC"/>
    <w:rsid w:val="1EAF58D3"/>
    <w:rsid w:val="1FBDE87A"/>
    <w:rsid w:val="1FFF196E"/>
    <w:rsid w:val="20284068"/>
    <w:rsid w:val="20761567"/>
    <w:rsid w:val="209A34C5"/>
    <w:rsid w:val="21241495"/>
    <w:rsid w:val="228F7D95"/>
    <w:rsid w:val="22926EC9"/>
    <w:rsid w:val="23360E24"/>
    <w:rsid w:val="23F4098A"/>
    <w:rsid w:val="246A6AFF"/>
    <w:rsid w:val="248B3525"/>
    <w:rsid w:val="24962E6D"/>
    <w:rsid w:val="24EA7E0A"/>
    <w:rsid w:val="252B1AA5"/>
    <w:rsid w:val="26A83647"/>
    <w:rsid w:val="27193152"/>
    <w:rsid w:val="272F6FC9"/>
    <w:rsid w:val="289947FC"/>
    <w:rsid w:val="293E7C11"/>
    <w:rsid w:val="298835B2"/>
    <w:rsid w:val="2AF15C08"/>
    <w:rsid w:val="2B7813B0"/>
    <w:rsid w:val="2C1246BD"/>
    <w:rsid w:val="2CDC0FE1"/>
    <w:rsid w:val="2CDC2D3B"/>
    <w:rsid w:val="2CF727DF"/>
    <w:rsid w:val="2E724734"/>
    <w:rsid w:val="2ECC287F"/>
    <w:rsid w:val="2EF4010E"/>
    <w:rsid w:val="2EF40779"/>
    <w:rsid w:val="2FD76BD3"/>
    <w:rsid w:val="2FDE2118"/>
    <w:rsid w:val="2FE776CF"/>
    <w:rsid w:val="31953262"/>
    <w:rsid w:val="31D7335E"/>
    <w:rsid w:val="32186BEB"/>
    <w:rsid w:val="32C12898"/>
    <w:rsid w:val="32C97ADD"/>
    <w:rsid w:val="332B7CDC"/>
    <w:rsid w:val="333F7FE0"/>
    <w:rsid w:val="33BB6AB5"/>
    <w:rsid w:val="342028B1"/>
    <w:rsid w:val="34735D11"/>
    <w:rsid w:val="364A4C9A"/>
    <w:rsid w:val="379C1F5E"/>
    <w:rsid w:val="383C3504"/>
    <w:rsid w:val="395B09D0"/>
    <w:rsid w:val="3979285E"/>
    <w:rsid w:val="39A32059"/>
    <w:rsid w:val="39FB74BE"/>
    <w:rsid w:val="3A3109DF"/>
    <w:rsid w:val="3A5B2469"/>
    <w:rsid w:val="3A6451FC"/>
    <w:rsid w:val="3B0F098B"/>
    <w:rsid w:val="3B944C20"/>
    <w:rsid w:val="3C220DF7"/>
    <w:rsid w:val="3CE81FC5"/>
    <w:rsid w:val="3CFF095E"/>
    <w:rsid w:val="3D7D358E"/>
    <w:rsid w:val="3DBF3181"/>
    <w:rsid w:val="3E9E2F10"/>
    <w:rsid w:val="3EDE6380"/>
    <w:rsid w:val="3EE44E01"/>
    <w:rsid w:val="3EFA5DAF"/>
    <w:rsid w:val="3FF70590"/>
    <w:rsid w:val="40096A4B"/>
    <w:rsid w:val="405C7585"/>
    <w:rsid w:val="40E25121"/>
    <w:rsid w:val="415437FA"/>
    <w:rsid w:val="419046C8"/>
    <w:rsid w:val="42D75B2D"/>
    <w:rsid w:val="42F77598"/>
    <w:rsid w:val="446504D2"/>
    <w:rsid w:val="45316778"/>
    <w:rsid w:val="461D3A4F"/>
    <w:rsid w:val="47C06A4F"/>
    <w:rsid w:val="484154FD"/>
    <w:rsid w:val="48EB775E"/>
    <w:rsid w:val="4942766F"/>
    <w:rsid w:val="494463D0"/>
    <w:rsid w:val="4CB849D3"/>
    <w:rsid w:val="4D2D2D8F"/>
    <w:rsid w:val="4D7F35C2"/>
    <w:rsid w:val="4FBF6C89"/>
    <w:rsid w:val="5103015C"/>
    <w:rsid w:val="51C06058"/>
    <w:rsid w:val="52D626A6"/>
    <w:rsid w:val="52EE0167"/>
    <w:rsid w:val="53073B02"/>
    <w:rsid w:val="542453BF"/>
    <w:rsid w:val="54DA1679"/>
    <w:rsid w:val="55675055"/>
    <w:rsid w:val="56CA0F3F"/>
    <w:rsid w:val="56DA575E"/>
    <w:rsid w:val="56E92F7D"/>
    <w:rsid w:val="579373A4"/>
    <w:rsid w:val="57B0714A"/>
    <w:rsid w:val="57EB8AA7"/>
    <w:rsid w:val="58CE10A1"/>
    <w:rsid w:val="59060331"/>
    <w:rsid w:val="591946E0"/>
    <w:rsid w:val="599274F8"/>
    <w:rsid w:val="5A5A8610"/>
    <w:rsid w:val="5AF5A908"/>
    <w:rsid w:val="5B9D4F7D"/>
    <w:rsid w:val="5BEE8EF8"/>
    <w:rsid w:val="5C7C54B8"/>
    <w:rsid w:val="5DFF2035"/>
    <w:rsid w:val="5EFE7A7A"/>
    <w:rsid w:val="5FDA0949"/>
    <w:rsid w:val="605079FC"/>
    <w:rsid w:val="606A7FB1"/>
    <w:rsid w:val="60F11254"/>
    <w:rsid w:val="61571F73"/>
    <w:rsid w:val="623E2413"/>
    <w:rsid w:val="62481FC6"/>
    <w:rsid w:val="63652F9E"/>
    <w:rsid w:val="63AE5B27"/>
    <w:rsid w:val="63DFFDB6"/>
    <w:rsid w:val="65632EC0"/>
    <w:rsid w:val="65682E99"/>
    <w:rsid w:val="6583736C"/>
    <w:rsid w:val="67A38B2D"/>
    <w:rsid w:val="68633C99"/>
    <w:rsid w:val="68C320D5"/>
    <w:rsid w:val="6A6110E6"/>
    <w:rsid w:val="6AC748FF"/>
    <w:rsid w:val="6BFFD583"/>
    <w:rsid w:val="6C307BC3"/>
    <w:rsid w:val="6DC80574"/>
    <w:rsid w:val="6DF116E4"/>
    <w:rsid w:val="6EC95FCD"/>
    <w:rsid w:val="6EDB525D"/>
    <w:rsid w:val="6F3FE03A"/>
    <w:rsid w:val="6F672036"/>
    <w:rsid w:val="6F7C730C"/>
    <w:rsid w:val="6FC65F85"/>
    <w:rsid w:val="6FE13009"/>
    <w:rsid w:val="6FFFE58C"/>
    <w:rsid w:val="70724765"/>
    <w:rsid w:val="70BF558D"/>
    <w:rsid w:val="70FA1A05"/>
    <w:rsid w:val="70FF12EC"/>
    <w:rsid w:val="71063444"/>
    <w:rsid w:val="71297D7D"/>
    <w:rsid w:val="7186432A"/>
    <w:rsid w:val="71A11BD6"/>
    <w:rsid w:val="71CD01B2"/>
    <w:rsid w:val="71CE3C27"/>
    <w:rsid w:val="71F23200"/>
    <w:rsid w:val="72244EF4"/>
    <w:rsid w:val="7267273E"/>
    <w:rsid w:val="73EE61F2"/>
    <w:rsid w:val="74FBA8DD"/>
    <w:rsid w:val="75344517"/>
    <w:rsid w:val="75C31387"/>
    <w:rsid w:val="761B4D6A"/>
    <w:rsid w:val="771301A2"/>
    <w:rsid w:val="773835EF"/>
    <w:rsid w:val="77FCBC54"/>
    <w:rsid w:val="78021E3D"/>
    <w:rsid w:val="789255BB"/>
    <w:rsid w:val="78EB7A43"/>
    <w:rsid w:val="79137EDB"/>
    <w:rsid w:val="793862F8"/>
    <w:rsid w:val="793B71D1"/>
    <w:rsid w:val="79DEF479"/>
    <w:rsid w:val="7A315CAC"/>
    <w:rsid w:val="7A3F7DF5"/>
    <w:rsid w:val="7AC77E60"/>
    <w:rsid w:val="7AD602F8"/>
    <w:rsid w:val="7B8C4B83"/>
    <w:rsid w:val="7BF04E12"/>
    <w:rsid w:val="7BFDD3A3"/>
    <w:rsid w:val="7CF16961"/>
    <w:rsid w:val="7D7F0B5A"/>
    <w:rsid w:val="7DC90D6E"/>
    <w:rsid w:val="7DEFCAA0"/>
    <w:rsid w:val="7EFD68FD"/>
    <w:rsid w:val="7F5F47F2"/>
    <w:rsid w:val="7F7F556C"/>
    <w:rsid w:val="7FB24F87"/>
    <w:rsid w:val="7FBB6A2E"/>
    <w:rsid w:val="7FCFD274"/>
    <w:rsid w:val="7FEBF018"/>
    <w:rsid w:val="7FFE888E"/>
    <w:rsid w:val="7FFF4C9F"/>
    <w:rsid w:val="8F9E8E68"/>
    <w:rsid w:val="96C921FD"/>
    <w:rsid w:val="B9EA600E"/>
    <w:rsid w:val="BBFF6D42"/>
    <w:rsid w:val="BDFF3D09"/>
    <w:rsid w:val="BFAFE90E"/>
    <w:rsid w:val="BFBCC178"/>
    <w:rsid w:val="BFBFBBCF"/>
    <w:rsid w:val="BFF86CD4"/>
    <w:rsid w:val="CDA66AF9"/>
    <w:rsid w:val="DE6F3048"/>
    <w:rsid w:val="DFF5F14D"/>
    <w:rsid w:val="E7F796A3"/>
    <w:rsid w:val="EBF9F388"/>
    <w:rsid w:val="EBFE6837"/>
    <w:rsid w:val="ED77E31C"/>
    <w:rsid w:val="EDFDA587"/>
    <w:rsid w:val="EF7FFA8B"/>
    <w:rsid w:val="F2EE5653"/>
    <w:rsid w:val="F5BEEDF6"/>
    <w:rsid w:val="F5BF4F40"/>
    <w:rsid w:val="F5F9C901"/>
    <w:rsid w:val="F66AA1C1"/>
    <w:rsid w:val="F6FE6B75"/>
    <w:rsid w:val="F7BF6FA1"/>
    <w:rsid w:val="F7EE8765"/>
    <w:rsid w:val="F87F0AEC"/>
    <w:rsid w:val="F8EFF378"/>
    <w:rsid w:val="FB267F25"/>
    <w:rsid w:val="FB4F5FCD"/>
    <w:rsid w:val="FB859832"/>
    <w:rsid w:val="FB93C3D7"/>
    <w:rsid w:val="FBF7924B"/>
    <w:rsid w:val="FDF56362"/>
    <w:rsid w:val="FDFF731F"/>
    <w:rsid w:val="FDFFE96D"/>
    <w:rsid w:val="FF3B8986"/>
    <w:rsid w:val="FF3DF47D"/>
    <w:rsid w:val="FF5F8261"/>
    <w:rsid w:val="FF676C8B"/>
    <w:rsid w:val="FFB4A91D"/>
    <w:rsid w:val="FFB56569"/>
    <w:rsid w:val="FFCD64B3"/>
    <w:rsid w:val="FFEFE9F1"/>
    <w:rsid w:val="FF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333333"/>
      <w:sz w:val="14"/>
      <w:szCs w:val="14"/>
      <w:u w:val="non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0">
    <w:name w:val="正文缩进1"/>
    <w:basedOn w:val="1"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2021-04-09T22:25:00Z</dcterms:created>
  <dc:creator>符祥煜</dc:creator>
  <cp:lastModifiedBy>卢业斌</cp:lastModifiedBy>
  <cp:lastPrinted>2022-11-13T00:42:00Z</cp:lastPrinted>
  <dcterms:modified xsi:type="dcterms:W3CDTF">2023-02-21T09:31:36Z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A8A6FC32309B4B3B904692E522AD04B7</vt:lpwstr>
  </property>
</Properties>
</file>