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tabs>
          <w:tab w:val="left" w:pos="8820"/>
        </w:tabs>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topLinePunct w:val="0"/>
        <w:bidi w:val="0"/>
        <w:snapToGrid/>
        <w:spacing w:line="560" w:lineRule="exact"/>
        <w:jc w:val="both"/>
        <w:textAlignment w:val="auto"/>
        <w:outlineLvl w:val="0"/>
        <w:rPr>
          <w:rFonts w:hint="eastAsia" w:ascii="仿宋_GB2312" w:hAnsi="仿宋_GB2312" w:eastAsia="仿宋_GB2312" w:cs="仿宋_GB2312"/>
          <w:color w:val="auto"/>
          <w:sz w:val="32"/>
          <w:szCs w:val="32"/>
        </w:rPr>
      </w:pPr>
    </w:p>
    <w:p>
      <w:pPr>
        <w:pStyle w:val="2"/>
        <w:keepNext w:val="0"/>
        <w:keepLines w:val="0"/>
        <w:pageBreakBefore w:val="0"/>
        <w:widowControl w:val="0"/>
        <w:kinsoku/>
        <w:wordWrap/>
        <w:overflowPunct/>
        <w:topLinePunct w:val="0"/>
        <w:bidi w:val="0"/>
        <w:snapToGrid/>
        <w:spacing w:line="560" w:lineRule="exact"/>
        <w:textAlignment w:val="auto"/>
        <w:rPr>
          <w:rFonts w:hint="eastAsia" w:ascii="仿宋_GB2312" w:hAnsi="仿宋_GB2312" w:eastAsia="仿宋_GB2312" w:cs="仿宋_GB2312"/>
          <w:color w:val="auto"/>
          <w:sz w:val="32"/>
          <w:szCs w:val="32"/>
        </w:rPr>
      </w:pPr>
    </w:p>
    <w:p>
      <w:pPr>
        <w:keepNext w:val="0"/>
        <w:keepLines w:val="0"/>
        <w:pageBreakBefore w:val="0"/>
        <w:widowControl w:val="0"/>
        <w:tabs>
          <w:tab w:val="left" w:pos="8820"/>
        </w:tabs>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方正小标宋简体" w:eastAsia="方正小标宋简体"/>
          <w:color w:val="auto"/>
          <w:sz w:val="44"/>
          <w:szCs w:val="44"/>
        </w:rPr>
      </w:pPr>
    </w:p>
    <w:p>
      <w:pPr>
        <w:pStyle w:val="2"/>
        <w:keepNext w:val="0"/>
        <w:keepLines w:val="0"/>
        <w:pageBreakBefore w:val="0"/>
        <w:widowControl w:val="0"/>
        <w:kinsoku/>
        <w:wordWrap/>
        <w:overflowPunct/>
        <w:topLinePunct w:val="0"/>
        <w:autoSpaceDE w:val="0"/>
        <w:autoSpaceDN w:val="0"/>
        <w:bidi w:val="0"/>
        <w:adjustRightInd w:val="0"/>
        <w:snapToGrid/>
        <w:spacing w:line="560" w:lineRule="exact"/>
        <w:jc w:val="center"/>
        <w:textAlignment w:val="auto"/>
        <w:rPr>
          <w:rFonts w:hint="eastAsia" w:ascii="仿宋_GB2312" w:hAnsi="仿宋_GB2312" w:eastAsia="仿宋_GB2312" w:cs="仿宋_GB2312"/>
          <w:color w:val="auto"/>
          <w:sz w:val="32"/>
          <w:szCs w:val="32"/>
        </w:rPr>
      </w:pPr>
    </w:p>
    <w:p>
      <w:pPr>
        <w:pStyle w:val="2"/>
        <w:keepNext w:val="0"/>
        <w:keepLines w:val="0"/>
        <w:pageBreakBefore w:val="0"/>
        <w:widowControl w:val="0"/>
        <w:kinsoku/>
        <w:wordWrap/>
        <w:overflowPunct/>
        <w:topLinePunct w:val="0"/>
        <w:autoSpaceDE w:val="0"/>
        <w:autoSpaceDN w:val="0"/>
        <w:bidi w:val="0"/>
        <w:adjustRightInd w:val="0"/>
        <w:snapToGrid/>
        <w:spacing w:line="460" w:lineRule="exact"/>
        <w:jc w:val="center"/>
        <w:textAlignment w:val="auto"/>
        <w:rPr>
          <w:rFonts w:hint="eastAsia" w:ascii="仿宋_GB2312" w:hAnsi="仿宋_GB2312" w:eastAsia="仿宋_GB2312" w:cs="仿宋_GB2312"/>
          <w:color w:val="auto"/>
          <w:sz w:val="32"/>
          <w:szCs w:val="32"/>
        </w:rPr>
      </w:pPr>
    </w:p>
    <w:p>
      <w:pPr>
        <w:pStyle w:val="2"/>
        <w:keepNext w:val="0"/>
        <w:keepLines w:val="0"/>
        <w:pageBreakBefore w:val="0"/>
        <w:widowControl w:val="0"/>
        <w:kinsoku/>
        <w:wordWrap/>
        <w:overflowPunct/>
        <w:topLinePunct w:val="0"/>
        <w:autoSpaceDE w:val="0"/>
        <w:autoSpaceDN w:val="0"/>
        <w:bidi w:val="0"/>
        <w:adjustRightInd w:val="0"/>
        <w:snapToGrid/>
        <w:spacing w:line="520" w:lineRule="exact"/>
        <w:jc w:val="center"/>
        <w:textAlignment w:val="auto"/>
        <w:rPr>
          <w:rFonts w:hint="eastAsia" w:ascii="仿宋_GB2312" w:hAnsi="仿宋_GB2312" w:eastAsia="仿宋_GB2312" w:cs="仿宋_GB2312"/>
          <w:color w:val="auto"/>
          <w:sz w:val="32"/>
          <w:szCs w:val="32"/>
        </w:rPr>
      </w:pPr>
    </w:p>
    <w:p>
      <w:pPr>
        <w:pStyle w:val="2"/>
        <w:keepNext w:val="0"/>
        <w:keepLines w:val="0"/>
        <w:pageBreakBefore w:val="0"/>
        <w:widowControl w:val="0"/>
        <w:kinsoku/>
        <w:wordWrap/>
        <w:overflowPunct/>
        <w:topLinePunct w:val="0"/>
        <w:autoSpaceDE w:val="0"/>
        <w:autoSpaceDN w:val="0"/>
        <w:bidi w:val="0"/>
        <w:adjustRightInd w:val="0"/>
        <w:snapToGrid/>
        <w:spacing w:line="100" w:lineRule="exact"/>
        <w:jc w:val="both"/>
        <w:textAlignment w:val="auto"/>
        <w:rPr>
          <w:rFonts w:hint="eastAsia" w:ascii="仿宋_GB2312" w:hAnsi="仿宋_GB2312" w:eastAsia="仿宋_GB2312" w:cs="仿宋_GB2312"/>
          <w:color w:val="auto"/>
          <w:sz w:val="32"/>
          <w:szCs w:val="32"/>
        </w:rPr>
      </w:pPr>
    </w:p>
    <w:p>
      <w:pPr>
        <w:pStyle w:val="2"/>
        <w:keepNext w:val="0"/>
        <w:keepLines w:val="0"/>
        <w:pageBreakBefore w:val="0"/>
        <w:widowControl w:val="0"/>
        <w:kinsoku/>
        <w:wordWrap/>
        <w:overflowPunct/>
        <w:topLinePunct w:val="0"/>
        <w:autoSpaceDE w:val="0"/>
        <w:autoSpaceDN w:val="0"/>
        <w:bidi w:val="0"/>
        <w:adjustRightInd w:val="0"/>
        <w:snapToGrid/>
        <w:spacing w:line="560" w:lineRule="exact"/>
        <w:ind w:firstLine="0" w:firstLineChars="0"/>
        <w:jc w:val="center"/>
        <w:textAlignment w:val="auto"/>
        <w:rPr>
          <w:rFonts w:hint="default"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rPr>
        <w:t>万府〔202</w:t>
      </w:r>
      <w:r>
        <w:rPr>
          <w:rFonts w:hint="eastAsia" w:ascii="仿宋_GB2312" w:hAnsi="仿宋_GB2312" w:eastAsia="仿宋_GB2312" w:cs="仿宋_GB2312"/>
          <w:b w:val="0"/>
          <w:bCs w:val="0"/>
          <w:color w:val="auto"/>
          <w:sz w:val="32"/>
          <w:szCs w:val="32"/>
          <w:lang w:val="en-US" w:eastAsia="zh-CN"/>
        </w:rPr>
        <w:t>4</w:t>
      </w:r>
      <w:r>
        <w:rPr>
          <w:rFonts w:hint="eastAsia" w:ascii="仿宋_GB2312" w:hAnsi="仿宋_GB2312" w:eastAsia="仿宋_GB2312" w:cs="仿宋_GB2312"/>
          <w:b w:val="0"/>
          <w:bCs w:val="0"/>
          <w:color w:val="auto"/>
          <w:sz w:val="32"/>
          <w:szCs w:val="32"/>
        </w:rPr>
        <w:t>〕</w:t>
      </w:r>
      <w:r>
        <w:rPr>
          <w:rFonts w:hint="eastAsia" w:ascii="仿宋_GB2312" w:hAnsi="仿宋_GB2312" w:eastAsia="仿宋_GB2312" w:cs="仿宋_GB2312"/>
          <w:b w:val="0"/>
          <w:bCs w:val="0"/>
          <w:color w:val="auto"/>
          <w:sz w:val="32"/>
          <w:szCs w:val="32"/>
          <w:lang w:val="en-US" w:eastAsia="zh-CN"/>
        </w:rPr>
        <w:t>12</w:t>
      </w:r>
      <w:r>
        <w:rPr>
          <w:rFonts w:hint="eastAsia" w:ascii="仿宋_GB2312" w:hAnsi="仿宋_GB2312" w:eastAsia="仿宋_GB2312" w:cs="仿宋_GB2312"/>
          <w:b w:val="0"/>
          <w:bCs w:val="0"/>
          <w:color w:val="auto"/>
          <w:sz w:val="32"/>
          <w:szCs w:val="32"/>
        </w:rPr>
        <w:t>号</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方正小标宋_GBK" w:hAnsi="方正小标宋_GBK" w:eastAsia="方正小标宋_GBK" w:cs="方正小标宋_GBK"/>
          <w:b w:val="0"/>
          <w:bCs w:val="0"/>
          <w:color w:val="auto"/>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方正小标宋_GBK" w:hAnsi="方正小标宋_GBK" w:eastAsia="方正小标宋_GBK" w:cs="方正小标宋_GBK"/>
          <w:b w:val="0"/>
          <w:bCs w:val="0"/>
          <w:color w:val="auto"/>
          <w:sz w:val="44"/>
          <w:szCs w:val="44"/>
          <w:lang w:val="en-US" w:eastAsia="zh-CN"/>
        </w:rPr>
      </w:pPr>
    </w:p>
    <w:p>
      <w:pPr>
        <w:keepNext w:val="0"/>
        <w:keepLines w:val="0"/>
        <w:pageBreakBefore w:val="0"/>
        <w:kinsoku/>
        <w:wordWrap/>
        <w:overflowPunct/>
        <w:topLinePunct w:val="0"/>
        <w:bidi w:val="0"/>
        <w:spacing w:line="560" w:lineRule="exact"/>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lang w:val="en-US" w:eastAsia="zh-CN"/>
        </w:rPr>
        <w:t>万宁</w:t>
      </w:r>
      <w:r>
        <w:rPr>
          <w:rFonts w:hint="eastAsia" w:ascii="方正小标宋_GBK" w:hAnsi="方正小标宋_GBK" w:eastAsia="方正小标宋_GBK" w:cs="方正小标宋_GBK"/>
          <w:sz w:val="44"/>
          <w:szCs w:val="44"/>
        </w:rPr>
        <w:t>市人民政府关于</w:t>
      </w:r>
    </w:p>
    <w:p>
      <w:pPr>
        <w:keepNext w:val="0"/>
        <w:keepLines w:val="0"/>
        <w:pageBreakBefore w:val="0"/>
        <w:kinsoku/>
        <w:wordWrap/>
        <w:overflowPunct/>
        <w:topLinePunct w:val="0"/>
        <w:bidi w:val="0"/>
        <w:spacing w:line="560" w:lineRule="exact"/>
        <w:jc w:val="center"/>
        <w:textAlignment w:val="auto"/>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val="en-US" w:eastAsia="zh-CN"/>
        </w:rPr>
        <w:t>万宁市环市二东路延长段市政道路工程</w:t>
      </w:r>
    </w:p>
    <w:p>
      <w:pPr>
        <w:keepNext w:val="0"/>
        <w:keepLines w:val="0"/>
        <w:pageBreakBefore w:val="0"/>
        <w:kinsoku/>
        <w:wordWrap/>
        <w:overflowPunct/>
        <w:topLinePunct w:val="0"/>
        <w:bidi w:val="0"/>
        <w:spacing w:line="560" w:lineRule="exact"/>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lang w:val="en-US" w:eastAsia="zh-CN"/>
        </w:rPr>
        <w:t>项目</w:t>
      </w:r>
      <w:r>
        <w:rPr>
          <w:rFonts w:hint="eastAsia" w:ascii="方正小标宋_GBK" w:hAnsi="方正小标宋_GBK" w:eastAsia="方正小标宋_GBK" w:cs="方正小标宋_GBK"/>
          <w:sz w:val="44"/>
          <w:szCs w:val="44"/>
        </w:rPr>
        <w:t>用地征收土地补偿</w:t>
      </w:r>
    </w:p>
    <w:p>
      <w:pPr>
        <w:keepNext w:val="0"/>
        <w:keepLines w:val="0"/>
        <w:pageBreakBefore w:val="0"/>
        <w:kinsoku/>
        <w:wordWrap/>
        <w:overflowPunct/>
        <w:topLinePunct w:val="0"/>
        <w:bidi w:val="0"/>
        <w:spacing w:line="560" w:lineRule="exact"/>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安置方案的公告</w:t>
      </w:r>
    </w:p>
    <w:p>
      <w:pPr>
        <w:keepNext w:val="0"/>
        <w:keepLines w:val="0"/>
        <w:pageBreakBefore w:val="0"/>
        <w:kinsoku/>
        <w:wordWrap/>
        <w:overflowPunct/>
        <w:topLinePunct w:val="0"/>
        <w:bidi w:val="0"/>
        <w:spacing w:line="560" w:lineRule="exact"/>
        <w:jc w:val="center"/>
        <w:textAlignment w:val="auto"/>
        <w:rPr>
          <w:rFonts w:hint="eastAsia" w:ascii="方正小标宋简体" w:hAnsi="方正小标宋简体" w:eastAsia="方正小标宋简体" w:cs="方正小标宋简体"/>
          <w:sz w:val="48"/>
          <w:szCs w:val="48"/>
        </w:rPr>
      </w:pPr>
    </w:p>
    <w:p>
      <w:pPr>
        <w:keepNext w:val="0"/>
        <w:keepLines w:val="0"/>
        <w:pageBreakBefore w:val="0"/>
        <w:kinsoku/>
        <w:wordWrap/>
        <w:overflowPunct/>
        <w:topLinePunct w:val="0"/>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为做好</w:t>
      </w:r>
      <w:r>
        <w:rPr>
          <w:rFonts w:hint="eastAsia" w:ascii="仿宋_GB2312" w:hAnsi="Calibri" w:eastAsia="仿宋_GB2312" w:cs="仿宋_GB2312"/>
          <w:kern w:val="2"/>
          <w:sz w:val="32"/>
          <w:szCs w:val="32"/>
          <w:lang w:val="en-US" w:eastAsia="zh-CN" w:bidi="ar"/>
        </w:rPr>
        <w:t>万宁市环市二东路延长段市政道路工程项目</w:t>
      </w:r>
      <w:r>
        <w:rPr>
          <w:rFonts w:hint="eastAsia" w:ascii="仿宋_GB2312" w:hAnsi="仿宋_GB2312" w:eastAsia="仿宋_GB2312" w:cs="仿宋_GB2312"/>
          <w:sz w:val="32"/>
          <w:szCs w:val="32"/>
        </w:rPr>
        <w:t>用地征地补偿安置工作，根据《中华人民共和国土地管理法》《中华人民共和国土地管理法实施条例》等法律法规规定，我市依据社会风险稳定评估结果，结合土地现状调查情况，组织相关职能部门拟定了征地补偿安置方案，现将有关事项公告如下：</w:t>
      </w:r>
    </w:p>
    <w:p>
      <w:pPr>
        <w:keepNext w:val="0"/>
        <w:keepLines w:val="0"/>
        <w:pageBreakBefore w:val="0"/>
        <w:kinsoku/>
        <w:wordWrap/>
        <w:overflowPunct/>
        <w:topLinePunct w:val="0"/>
        <w:bidi w:val="0"/>
        <w:spacing w:line="560" w:lineRule="exact"/>
        <w:ind w:firstLine="640" w:firstLineChars="200"/>
        <w:textAlignment w:val="auto"/>
        <w:rPr>
          <w:rFonts w:ascii="仿宋_GB2312" w:hAnsi="仿宋_GB2312" w:eastAsia="仿宋_GB2312" w:cs="仿宋_GB2312"/>
          <w:sz w:val="32"/>
          <w:szCs w:val="32"/>
        </w:rPr>
      </w:pPr>
      <w:r>
        <w:rPr>
          <w:rFonts w:hint="eastAsia" w:ascii="黑体" w:hAnsi="黑体" w:eastAsia="黑体" w:cs="黑体"/>
          <w:sz w:val="32"/>
          <w:szCs w:val="32"/>
        </w:rPr>
        <w:t>一、征收范围</w:t>
      </w:r>
    </w:p>
    <w:p>
      <w:pPr>
        <w:keepNext w:val="0"/>
        <w:keepLines w:val="0"/>
        <w:pageBreakBefore w:val="0"/>
        <w:kinsoku/>
        <w:wordWrap/>
        <w:overflowPunct/>
        <w:topLinePunct w:val="0"/>
        <w:bidi w:val="0"/>
        <w:spacing w:line="560" w:lineRule="exact"/>
        <w:ind w:firstLine="640" w:firstLineChars="200"/>
        <w:textAlignment w:val="auto"/>
        <w:rPr>
          <w:rFonts w:ascii="仿宋_GB2312" w:hAnsi="仿宋_GB2312" w:eastAsia="仿宋_GB2312" w:cs="仿宋_GB2312"/>
          <w:sz w:val="32"/>
          <w:szCs w:val="32"/>
        </w:rPr>
      </w:pPr>
      <w:r>
        <w:rPr>
          <w:rFonts w:hint="eastAsia" w:ascii="仿宋_GB2312" w:hAnsi="Calibri" w:eastAsia="仿宋_GB2312" w:cs="仿宋_GB2312"/>
          <w:kern w:val="2"/>
          <w:sz w:val="32"/>
          <w:szCs w:val="32"/>
          <w:lang w:val="en-US" w:eastAsia="zh-CN" w:bidi="ar"/>
        </w:rPr>
        <w:t>万宁市环市二东路延长段市政道路工程项目</w:t>
      </w:r>
      <w:r>
        <w:rPr>
          <w:rFonts w:hint="eastAsia" w:ascii="仿宋_GB2312" w:hAnsi="仿宋_GB2312" w:eastAsia="仿宋_GB2312" w:cs="仿宋_GB2312"/>
          <w:sz w:val="32"/>
          <w:szCs w:val="32"/>
        </w:rPr>
        <w:t>用地位于</w:t>
      </w:r>
      <w:r>
        <w:rPr>
          <w:rFonts w:hint="eastAsia" w:ascii="仿宋_GB2312" w:hAnsi="仿宋_GB2312" w:eastAsia="仿宋_GB2312" w:cs="仿宋_GB2312"/>
          <w:sz w:val="32"/>
          <w:szCs w:val="32"/>
          <w:lang w:val="en-US" w:eastAsia="zh-CN"/>
        </w:rPr>
        <w:t>万宁</w:t>
      </w:r>
      <w:r>
        <w:rPr>
          <w:rFonts w:hint="eastAsia" w:ascii="仿宋_GB2312" w:hAnsi="仿宋_GB2312" w:eastAsia="仿宋_GB2312" w:cs="仿宋_GB2312"/>
          <w:sz w:val="32"/>
          <w:szCs w:val="32"/>
        </w:rPr>
        <w:t>市</w:t>
      </w:r>
      <w:r>
        <w:rPr>
          <w:rFonts w:hint="eastAsia" w:ascii="仿宋_GB2312" w:eastAsia="仿宋_GB2312"/>
          <w:sz w:val="32"/>
          <w:szCs w:val="32"/>
        </w:rPr>
        <w:t>万城</w:t>
      </w:r>
      <w:r>
        <w:rPr>
          <w:rFonts w:hint="eastAsia" w:ascii="仿宋_GB2312" w:hAnsi="仿宋_GB2312" w:eastAsia="仿宋_GB2312" w:cs="仿宋_GB2312"/>
          <w:sz w:val="32"/>
          <w:szCs w:val="32"/>
          <w:lang w:val="en-US" w:eastAsia="zh-CN"/>
        </w:rPr>
        <w:t>镇</w:t>
      </w:r>
      <w:r>
        <w:rPr>
          <w:rFonts w:hint="eastAsia" w:ascii="仿宋_GB2312" w:hAnsi="仿宋_GB2312" w:eastAsia="仿宋_GB2312" w:cs="仿宋_GB2312"/>
          <w:sz w:val="32"/>
          <w:szCs w:val="32"/>
        </w:rPr>
        <w:t>，用地总面积</w:t>
      </w:r>
      <w:r>
        <w:rPr>
          <w:rFonts w:hint="eastAsia" w:ascii="仿宋_GB2312" w:hAnsi="Calibri" w:eastAsia="仿宋_GB2312" w:cs="仿宋_GB2312"/>
          <w:kern w:val="2"/>
          <w:sz w:val="32"/>
          <w:szCs w:val="32"/>
          <w:lang w:val="en-US" w:eastAsia="zh-CN" w:bidi="ar"/>
        </w:rPr>
        <w:t>95.48亩</w:t>
      </w:r>
      <w:r>
        <w:rPr>
          <w:rFonts w:hint="eastAsia" w:ascii="仿宋_GB2312" w:hAnsi="仿宋_GB2312" w:eastAsia="仿宋_GB2312" w:cs="仿宋_GB2312"/>
          <w:sz w:val="32"/>
          <w:szCs w:val="32"/>
        </w:rPr>
        <w:t>，拟征收集体土地</w:t>
      </w:r>
      <w:r>
        <w:rPr>
          <w:rFonts w:hint="eastAsia" w:ascii="仿宋_GB2312" w:hAnsi="Calibri" w:eastAsia="仿宋_GB2312" w:cs="仿宋_GB2312"/>
          <w:kern w:val="2"/>
          <w:sz w:val="32"/>
          <w:szCs w:val="32"/>
          <w:lang w:val="en-US" w:eastAsia="zh-CN" w:bidi="ar"/>
        </w:rPr>
        <w:t>95.48亩</w:t>
      </w:r>
      <w:r>
        <w:rPr>
          <w:rFonts w:hint="eastAsia" w:ascii="仿宋_GB2312" w:hAnsi="仿宋_GB2312" w:eastAsia="仿宋_GB2312" w:cs="仿宋_GB2312"/>
          <w:sz w:val="32"/>
          <w:szCs w:val="32"/>
        </w:rPr>
        <w:t>，涉及</w:t>
      </w:r>
      <w:r>
        <w:rPr>
          <w:rFonts w:hint="eastAsia" w:ascii="仿宋_GB2312" w:hAnsi="Calibri" w:eastAsia="仿宋_GB2312" w:cs="仿宋_GB2312"/>
          <w:kern w:val="2"/>
          <w:sz w:val="32"/>
          <w:szCs w:val="32"/>
          <w:lang w:val="en-US" w:eastAsia="zh-CN" w:bidi="ar"/>
        </w:rPr>
        <w:t>万城镇裕光社区第3至20村民小组、东方村委会第3、14村民小组等集体所有土地</w:t>
      </w:r>
      <w:r>
        <w:rPr>
          <w:rFonts w:hint="eastAsia" w:ascii="仿宋_GB2312" w:hAnsi="仿宋_GB2312" w:eastAsia="仿宋_GB2312" w:cs="仿宋_GB2312"/>
          <w:sz w:val="32"/>
          <w:szCs w:val="32"/>
        </w:rPr>
        <w:t>。征收土地具体四至界址范围以征地红线图为准。</w:t>
      </w:r>
    </w:p>
    <w:p>
      <w:pPr>
        <w:keepNext w:val="0"/>
        <w:keepLines w:val="0"/>
        <w:pageBreakBefore w:val="0"/>
        <w:kinsoku/>
        <w:wordWrap/>
        <w:overflowPunct/>
        <w:topLinePunct w:val="0"/>
        <w:bidi w:val="0"/>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二、土地现状</w:t>
      </w:r>
    </w:p>
    <w:p>
      <w:pPr>
        <w:keepNext w:val="0"/>
        <w:keepLines w:val="0"/>
        <w:pageBreakBefore w:val="0"/>
        <w:kinsoku/>
        <w:wordWrap/>
        <w:overflowPunct/>
        <w:topLinePunct w:val="0"/>
        <w:bidi w:val="0"/>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黑体" w:eastAsia="仿宋_GB2312" w:cs="黑体"/>
          <w:sz w:val="32"/>
          <w:szCs w:val="32"/>
        </w:rPr>
        <w:t>根据拟征收土地现状调查结果，本次拟征收土地现状如下：拟</w:t>
      </w:r>
      <w:r>
        <w:rPr>
          <w:rFonts w:hint="eastAsia" w:ascii="仿宋_GB2312" w:hAnsi="黑体" w:eastAsia="仿宋_GB2312" w:cs="黑体"/>
          <w:color w:val="auto"/>
          <w:sz w:val="32"/>
          <w:szCs w:val="32"/>
        </w:rPr>
        <w:t>征收</w:t>
      </w:r>
      <w:r>
        <w:rPr>
          <w:rFonts w:hint="eastAsia" w:ascii="仿宋_GB2312" w:hAnsi="Calibri" w:eastAsia="仿宋_GB2312" w:cs="仿宋_GB2312"/>
          <w:kern w:val="2"/>
          <w:sz w:val="32"/>
          <w:szCs w:val="32"/>
          <w:lang w:val="en-US" w:eastAsia="zh-CN" w:bidi="ar"/>
        </w:rPr>
        <w:t>万城镇裕光社区第3至20村民小组、东方村委会第3、14村民小组等集体所有土地95.48亩</w:t>
      </w:r>
      <w:r>
        <w:rPr>
          <w:rFonts w:hint="eastAsia" w:ascii="仿宋_GB2312" w:hAnsi="仿宋_GB2312" w:eastAsia="仿宋_GB2312" w:cs="仿宋_GB2312"/>
          <w:sz w:val="32"/>
          <w:szCs w:val="32"/>
        </w:rPr>
        <w:t>，其中农用地</w:t>
      </w:r>
      <w:r>
        <w:rPr>
          <w:rFonts w:hint="eastAsia" w:ascii="仿宋_GB2312" w:hAnsi="Calibri" w:eastAsia="仿宋_GB2312" w:cs="仿宋_GB2312"/>
          <w:kern w:val="2"/>
          <w:sz w:val="32"/>
          <w:szCs w:val="32"/>
          <w:lang w:val="en-US" w:eastAsia="zh-CN" w:bidi="ar"/>
        </w:rPr>
        <w:t>95.48亩</w:t>
      </w:r>
      <w:r>
        <w:rPr>
          <w:rFonts w:hint="eastAsia" w:ascii="仿宋_GB2312" w:hAnsi="仿宋_GB2312" w:eastAsia="仿宋_GB2312" w:cs="仿宋_GB2312"/>
          <w:sz w:val="32"/>
          <w:szCs w:val="32"/>
        </w:rPr>
        <w:t>。</w:t>
      </w:r>
    </w:p>
    <w:p>
      <w:pPr>
        <w:keepNext w:val="0"/>
        <w:keepLines w:val="0"/>
        <w:pageBreakBefore w:val="0"/>
        <w:kinsoku/>
        <w:wordWrap/>
        <w:overflowPunct/>
        <w:topLinePunct w:val="0"/>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三、征收目的</w:t>
      </w:r>
    </w:p>
    <w:p>
      <w:pPr>
        <w:keepNext w:val="0"/>
        <w:keepLines w:val="0"/>
        <w:pageBreakBefore w:val="0"/>
        <w:kinsoku/>
        <w:wordWrap/>
        <w:overflowPunct/>
        <w:topLinePunct w:val="0"/>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为了公共利益的需要拟征收作为</w:t>
      </w:r>
      <w:r>
        <w:rPr>
          <w:rFonts w:hint="eastAsia" w:ascii="仿宋_GB2312" w:hAnsi="Calibri" w:eastAsia="仿宋_GB2312" w:cs="仿宋_GB2312"/>
          <w:kern w:val="2"/>
          <w:sz w:val="32"/>
          <w:szCs w:val="32"/>
          <w:lang w:val="en-US" w:eastAsia="zh-CN" w:bidi="ar"/>
        </w:rPr>
        <w:t>万宁市环市二东路延长段市政道路工程项目</w:t>
      </w:r>
      <w:r>
        <w:rPr>
          <w:rFonts w:hint="eastAsia" w:ascii="仿宋_GB2312" w:hAnsi="仿宋_GB2312" w:eastAsia="仿宋_GB2312" w:cs="仿宋_GB2312"/>
          <w:sz w:val="32"/>
          <w:szCs w:val="32"/>
        </w:rPr>
        <w:t>用地,拟安排土地用途：</w:t>
      </w:r>
      <w:r>
        <w:rPr>
          <w:rFonts w:hint="eastAsia" w:ascii="仿宋_GB2312" w:hAnsi="仿宋_GB2312" w:eastAsia="仿宋_GB2312" w:cs="仿宋_GB2312"/>
          <w:sz w:val="32"/>
          <w:szCs w:val="32"/>
          <w:lang w:val="en-US" w:eastAsia="zh-CN"/>
        </w:rPr>
        <w:t>城镇道路用地</w:t>
      </w:r>
      <w:r>
        <w:rPr>
          <w:rFonts w:hint="eastAsia" w:ascii="仿宋_GB2312" w:hAnsi="仿宋_GB2312" w:eastAsia="仿宋_GB2312" w:cs="仿宋_GB2312"/>
          <w:sz w:val="32"/>
          <w:szCs w:val="32"/>
        </w:rPr>
        <w:t>。</w:t>
      </w:r>
    </w:p>
    <w:p>
      <w:pPr>
        <w:keepNext w:val="0"/>
        <w:keepLines w:val="0"/>
        <w:pageBreakBefore w:val="0"/>
        <w:kinsoku/>
        <w:wordWrap/>
        <w:overflowPunct/>
        <w:topLinePunct w:val="0"/>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四、征收土地补偿标准</w:t>
      </w:r>
    </w:p>
    <w:p>
      <w:pPr>
        <w:keepNext w:val="0"/>
        <w:keepLines w:val="0"/>
        <w:pageBreakBefore w:val="0"/>
        <w:kinsoku/>
        <w:wordWrap/>
        <w:overflowPunct/>
        <w:topLinePunct w:val="0"/>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拟征收土地补偿费和安置补助费按照《海南省人民政府关于公布全省征地区片综合地价的通知》（琼府〔2020〕45号）规定执行，片区综合地价标准：</w:t>
      </w:r>
      <w:r>
        <w:rPr>
          <w:rFonts w:hint="eastAsia" w:ascii="仿宋_GB2312" w:hAnsi="仿宋_GB2312" w:eastAsia="仿宋_GB2312" w:cs="仿宋_GB2312"/>
          <w:sz w:val="32"/>
          <w:szCs w:val="32"/>
          <w:lang w:val="en-US" w:eastAsia="zh-CN"/>
        </w:rPr>
        <w:t>万城</w:t>
      </w:r>
      <w:r>
        <w:rPr>
          <w:rFonts w:hint="eastAsia" w:ascii="仿宋_GB2312" w:hAnsi="仿宋_GB2312" w:eastAsia="仿宋_GB2312" w:cs="仿宋_GB2312"/>
          <w:sz w:val="32"/>
          <w:szCs w:val="32"/>
        </w:rPr>
        <w:t>镇</w:t>
      </w:r>
      <w:r>
        <w:rPr>
          <w:rFonts w:hint="eastAsia" w:ascii="仿宋_GB2312" w:hAnsi="仿宋_GB2312" w:eastAsia="仿宋_GB2312" w:cs="仿宋_GB2312"/>
          <w:sz w:val="32"/>
          <w:szCs w:val="32"/>
          <w:lang w:val="en-US" w:eastAsia="zh-CN"/>
        </w:rPr>
        <w:t>103776</w:t>
      </w:r>
      <w:r>
        <w:rPr>
          <w:rFonts w:hint="eastAsia" w:ascii="仿宋_GB2312" w:hAnsi="仿宋_GB2312" w:eastAsia="仿宋_GB2312" w:cs="仿宋_GB2312"/>
          <w:sz w:val="32"/>
          <w:szCs w:val="32"/>
        </w:rPr>
        <w:t>元/亩，其中，土地补偿费标准：</w:t>
      </w:r>
      <w:r>
        <w:rPr>
          <w:rFonts w:hint="eastAsia" w:ascii="仿宋_GB2312" w:hAnsi="仿宋_GB2312" w:eastAsia="仿宋_GB2312" w:cs="仿宋_GB2312"/>
          <w:sz w:val="32"/>
          <w:szCs w:val="32"/>
          <w:lang w:val="en-US" w:eastAsia="zh-CN"/>
        </w:rPr>
        <w:t>45120</w:t>
      </w:r>
      <w:r>
        <w:rPr>
          <w:rFonts w:hint="eastAsia" w:ascii="仿宋_GB2312" w:hAnsi="仿宋_GB2312" w:eastAsia="仿宋_GB2312" w:cs="仿宋_GB2312"/>
          <w:sz w:val="32"/>
          <w:szCs w:val="32"/>
        </w:rPr>
        <w:t>元/亩、安置补助费标准：</w:t>
      </w:r>
      <w:r>
        <w:rPr>
          <w:rFonts w:hint="eastAsia" w:ascii="仿宋_GB2312" w:hAnsi="仿宋_GB2312" w:eastAsia="仿宋_GB2312" w:cs="仿宋_GB2312"/>
          <w:sz w:val="32"/>
          <w:szCs w:val="32"/>
          <w:lang w:val="en-US" w:eastAsia="zh-CN"/>
        </w:rPr>
        <w:t>58656</w:t>
      </w:r>
      <w:r>
        <w:rPr>
          <w:rFonts w:hint="eastAsia" w:ascii="仿宋_GB2312" w:hAnsi="仿宋_GB2312" w:eastAsia="仿宋_GB2312" w:cs="仿宋_GB2312"/>
          <w:sz w:val="32"/>
          <w:szCs w:val="32"/>
        </w:rPr>
        <w:t>元/亩。</w:t>
      </w:r>
    </w:p>
    <w:p>
      <w:pPr>
        <w:keepNext w:val="0"/>
        <w:keepLines w:val="0"/>
        <w:pageBreakBefore w:val="0"/>
        <w:kinsoku/>
        <w:wordWrap/>
        <w:overflowPunct/>
        <w:topLinePunct w:val="0"/>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青苗及地上附着物补偿按照《海南省征地青苗及地上附作物补偿标准》（琼府〔2014〕36号）</w:t>
      </w:r>
      <w:r>
        <w:rPr>
          <w:rFonts w:hint="default" w:ascii="仿宋_GB2312" w:hAnsi="仿宋_GB2312" w:eastAsia="仿宋_GB2312" w:cs="仿宋_GB2312"/>
          <w:sz w:val="32"/>
          <w:szCs w:val="32"/>
        </w:rPr>
        <w:t>、</w:t>
      </w:r>
      <w:r>
        <w:rPr>
          <w:rFonts w:hint="eastAsia" w:ascii="仿宋_GB2312" w:hAnsi="仿宋_GB2312" w:eastAsia="仿宋_GB2312" w:cs="仿宋_GB2312"/>
          <w:sz w:val="32"/>
          <w:szCs w:val="32"/>
        </w:rPr>
        <w:t>《万宁市人民政府关于印发万宁市征地统一年产值标准和万宁市征地青苗及地上附着物补偿标准的通知》(万府〔2015〕11号</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规定执行</w:t>
      </w:r>
      <w:r>
        <w:rPr>
          <w:rFonts w:hint="default" w:ascii="仿宋_GB2312" w:hAnsi="仿宋_GB2312" w:eastAsia="仿宋_GB2312" w:cs="仿宋_GB2312"/>
          <w:sz w:val="32"/>
          <w:szCs w:val="32"/>
        </w:rPr>
        <w:t>。</w:t>
      </w:r>
    </w:p>
    <w:p>
      <w:pPr>
        <w:keepNext w:val="0"/>
        <w:keepLines w:val="0"/>
        <w:pageBreakBefore w:val="0"/>
        <w:kinsoku/>
        <w:wordWrap/>
        <w:overflowPunct/>
        <w:topLinePunct w:val="0"/>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五、安置对象</w:t>
      </w:r>
    </w:p>
    <w:p>
      <w:pPr>
        <w:keepNext w:val="0"/>
        <w:keepLines w:val="0"/>
        <w:pageBreakBefore w:val="0"/>
        <w:kinsoku/>
        <w:wordWrap/>
        <w:overflowPunct/>
        <w:topLinePunct w:val="0"/>
        <w:bidi w:val="0"/>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Calibri" w:eastAsia="仿宋_GB2312" w:cs="仿宋_GB2312"/>
          <w:kern w:val="2"/>
          <w:sz w:val="32"/>
          <w:szCs w:val="32"/>
          <w:lang w:val="en-US" w:eastAsia="zh-CN" w:bidi="ar"/>
        </w:rPr>
        <w:t>万城镇裕光社区第3至20村民小组、东方村委会第3、14村民小组等</w:t>
      </w:r>
      <w:r>
        <w:rPr>
          <w:rFonts w:hint="eastAsia" w:ascii="仿宋_GB2312" w:hAnsi="仿宋_GB2312" w:eastAsia="仿宋_GB2312" w:cs="仿宋_GB2312"/>
          <w:color w:val="auto"/>
          <w:sz w:val="32"/>
          <w:szCs w:val="32"/>
          <w:lang w:val="en-US" w:eastAsia="zh-CN"/>
        </w:rPr>
        <w:t>相关村民小组263</w:t>
      </w:r>
      <w:r>
        <w:rPr>
          <w:rFonts w:hint="eastAsia" w:ascii="仿宋_GB2312" w:hAnsi="仿宋_GB2312" w:eastAsia="仿宋_GB2312" w:cs="仿宋_GB2312"/>
          <w:color w:val="auto"/>
          <w:sz w:val="32"/>
          <w:szCs w:val="32"/>
        </w:rPr>
        <w:t>户</w:t>
      </w:r>
      <w:r>
        <w:rPr>
          <w:rFonts w:hint="eastAsia" w:ascii="仿宋_GB2312" w:hAnsi="仿宋_GB2312" w:eastAsia="仿宋_GB2312" w:cs="仿宋_GB2312"/>
          <w:color w:val="auto"/>
          <w:sz w:val="32"/>
          <w:szCs w:val="32"/>
          <w:lang w:val="en-US" w:eastAsia="zh-CN"/>
        </w:rPr>
        <w:t>1205</w:t>
      </w:r>
      <w:r>
        <w:rPr>
          <w:rFonts w:hint="eastAsia" w:ascii="仿宋_GB2312" w:hAnsi="仿宋_GB2312" w:eastAsia="仿宋_GB2312" w:cs="仿宋_GB2312"/>
          <w:color w:val="auto"/>
          <w:sz w:val="32"/>
          <w:szCs w:val="32"/>
        </w:rPr>
        <w:t>人。</w:t>
      </w:r>
    </w:p>
    <w:p>
      <w:pPr>
        <w:keepNext w:val="0"/>
        <w:keepLines w:val="0"/>
        <w:pageBreakBefore w:val="0"/>
        <w:kinsoku/>
        <w:wordWrap/>
        <w:overflowPunct/>
        <w:topLinePunct w:val="0"/>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六、安置方式</w:t>
      </w:r>
    </w:p>
    <w:p>
      <w:pPr>
        <w:keepNext w:val="0"/>
        <w:keepLines w:val="0"/>
        <w:pageBreakBefore w:val="0"/>
        <w:kinsoku/>
        <w:wordWrap/>
        <w:overflowPunct/>
        <w:topLinePunct w:val="0"/>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楷体_GB2312" w:hAnsi="方正楷体_GBK" w:eastAsia="楷体_GB2312" w:cs="方正楷体_GBK"/>
          <w:sz w:val="32"/>
          <w:szCs w:val="32"/>
        </w:rPr>
        <w:t>（一）货币补偿</w:t>
      </w:r>
      <w:r>
        <w:rPr>
          <w:rFonts w:hint="default" w:ascii="楷体_GB2312" w:hAnsi="方正楷体_GBK" w:eastAsia="楷体_GB2312" w:cs="方正楷体_GBK"/>
          <w:sz w:val="32"/>
          <w:szCs w:val="32"/>
        </w:rPr>
        <w:t>。</w:t>
      </w:r>
      <w:r>
        <w:rPr>
          <w:rFonts w:hint="eastAsia" w:ascii="仿宋_GB2312" w:hAnsi="仿宋_GB2312" w:eastAsia="仿宋_GB2312" w:cs="仿宋_GB2312"/>
          <w:sz w:val="32"/>
          <w:szCs w:val="32"/>
        </w:rPr>
        <w:t>土地补偿费和安置补助费支付给被征地农村集体经济组织。青苗及地上附着物补偿费支付给其所有权人。</w:t>
      </w:r>
    </w:p>
    <w:p>
      <w:pPr>
        <w:keepNext w:val="0"/>
        <w:keepLines w:val="0"/>
        <w:pageBreakBefore w:val="0"/>
        <w:kinsoku/>
        <w:wordWrap/>
        <w:overflowPunct/>
        <w:topLinePunct w:val="0"/>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楷体_GB2312" w:hAnsi="方正楷体_GBK" w:eastAsia="楷体_GB2312" w:cs="方正楷体_GBK"/>
          <w:sz w:val="32"/>
          <w:szCs w:val="32"/>
        </w:rPr>
        <w:t>（二）社保安置。</w:t>
      </w:r>
      <w:r>
        <w:rPr>
          <w:rFonts w:hint="eastAsia" w:ascii="仿宋_GB2312" w:hAnsi="仿宋_GB2312" w:eastAsia="仿宋_GB2312" w:cs="仿宋_GB2312"/>
          <w:sz w:val="32"/>
          <w:szCs w:val="32"/>
        </w:rPr>
        <w:t>被征地农民养老保险缴费补贴按照《海南省人民政府关于印发&lt;海南省被征地农民参加社会养老保险办法&gt;的通知》（琼府〔2013〕21号）规定执行。</w:t>
      </w:r>
    </w:p>
    <w:p>
      <w:pPr>
        <w:keepNext w:val="0"/>
        <w:keepLines w:val="0"/>
        <w:pageBreakBefore w:val="0"/>
        <w:kinsoku/>
        <w:wordWrap/>
        <w:overflowPunct/>
        <w:topLinePunct w:val="0"/>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楷体" w:hAnsi="楷体" w:eastAsia="楷体" w:cs="楷体"/>
          <w:sz w:val="32"/>
          <w:szCs w:val="32"/>
        </w:rPr>
        <w:t>（</w:t>
      </w:r>
      <w:r>
        <w:rPr>
          <w:rFonts w:hint="eastAsia" w:ascii="楷体" w:hAnsi="楷体" w:eastAsia="楷体" w:cs="楷体"/>
          <w:sz w:val="32"/>
          <w:szCs w:val="32"/>
          <w:lang w:val="en-US" w:eastAsia="zh-CN"/>
        </w:rPr>
        <w:t>三</w:t>
      </w:r>
      <w:r>
        <w:rPr>
          <w:rFonts w:hint="eastAsia" w:ascii="楷体" w:hAnsi="楷体" w:eastAsia="楷体" w:cs="楷体"/>
          <w:sz w:val="32"/>
          <w:szCs w:val="32"/>
        </w:rPr>
        <w:t>）</w:t>
      </w:r>
      <w:r>
        <w:rPr>
          <w:rFonts w:hint="eastAsia" w:ascii="仿宋_GB2312" w:hAnsi="仿宋_GB2312" w:eastAsia="仿宋_GB2312" w:cs="仿宋_GB2312"/>
          <w:sz w:val="32"/>
          <w:szCs w:val="32"/>
        </w:rPr>
        <w:t>涉及拆迁房屋的，给予宅基地安置，由镇政府、村委会在该村集体建设用地范围内给予被拆迁户重新安排宅基地，由被拆迁户报建获批后自行建房。</w:t>
      </w:r>
    </w:p>
    <w:p>
      <w:pPr>
        <w:pStyle w:val="14"/>
        <w:keepNext w:val="0"/>
        <w:keepLines w:val="0"/>
        <w:pageBreakBefore w:val="0"/>
        <w:kinsoku/>
        <w:wordWrap/>
        <w:overflowPunct/>
        <w:topLinePunct w:val="0"/>
        <w:bidi w:val="0"/>
        <w:spacing w:before="0" w:beforeAutospacing="0" w:after="0" w:afterAutospacing="0"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七、办理补偿登记期限</w:t>
      </w:r>
    </w:p>
    <w:p>
      <w:pPr>
        <w:keepNext w:val="0"/>
        <w:keepLines w:val="0"/>
        <w:pageBreakBefore w:val="0"/>
        <w:kinsoku/>
        <w:wordWrap/>
        <w:overflowPunct/>
        <w:topLinePunct w:val="0"/>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请上述拟征收土地范围内的土地所有权人、使用权人及其他相关权利人自本公告发布之日起</w:t>
      </w:r>
      <w:r>
        <w:rPr>
          <w:rFonts w:hint="eastAsia" w:ascii="仿宋_GB2312" w:hAnsi="仿宋_GB2312" w:eastAsia="仿宋_GB2312" w:cs="仿宋_GB2312"/>
          <w:color w:val="auto"/>
          <w:sz w:val="32"/>
          <w:szCs w:val="32"/>
          <w:lang w:val="en-US" w:eastAsia="zh-CN"/>
        </w:rPr>
        <w:t>30</w:t>
      </w:r>
      <w:r>
        <w:rPr>
          <w:rFonts w:hint="eastAsia" w:ascii="仿宋_GB2312" w:hAnsi="仿宋_GB2312" w:eastAsia="仿宋_GB2312" w:cs="仿宋_GB2312"/>
          <w:color w:val="auto"/>
          <w:sz w:val="32"/>
          <w:szCs w:val="32"/>
        </w:rPr>
        <w:t>日内持相关权属证明材料到</w:t>
      </w:r>
      <w:r>
        <w:rPr>
          <w:rFonts w:hint="eastAsia" w:ascii="仿宋_GB2312" w:hAnsi="仿宋_GB2312" w:eastAsia="仿宋_GB2312" w:cs="仿宋_GB2312"/>
          <w:color w:val="auto"/>
          <w:sz w:val="32"/>
          <w:szCs w:val="32"/>
          <w:lang w:val="en-US" w:eastAsia="zh-CN"/>
        </w:rPr>
        <w:t>万城镇</w:t>
      </w:r>
      <w:r>
        <w:rPr>
          <w:rFonts w:hint="eastAsia" w:ascii="仿宋_GB2312" w:hAnsi="仿宋_GB2312" w:eastAsia="仿宋_GB2312" w:cs="仿宋_GB2312"/>
          <w:color w:val="auto"/>
          <w:sz w:val="32"/>
          <w:szCs w:val="32"/>
        </w:rPr>
        <w:t>政府办理补偿登记。</w:t>
      </w:r>
      <w:r>
        <w:rPr>
          <w:rFonts w:hint="eastAsia" w:ascii="仿宋_GB2312" w:hAnsi="仿宋_GB2312" w:eastAsia="仿宋_GB2312" w:cs="仿宋_GB2312"/>
          <w:sz w:val="32"/>
          <w:szCs w:val="32"/>
        </w:rPr>
        <w:t>土地所有权人、使用权人及其他相关权利人如未按期办理补偿登记的，其补偿内容以土地现状调查结果为准。</w:t>
      </w:r>
    </w:p>
    <w:p>
      <w:pPr>
        <w:keepNext w:val="0"/>
        <w:keepLines w:val="0"/>
        <w:pageBreakBefore w:val="0"/>
        <w:kinsoku/>
        <w:wordWrap/>
        <w:overflowPunct/>
        <w:topLinePunct w:val="0"/>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八、其他事项</w:t>
      </w:r>
    </w:p>
    <w:p>
      <w:pPr>
        <w:keepNext w:val="0"/>
        <w:keepLines w:val="0"/>
        <w:pageBreakBefore w:val="0"/>
        <w:shd w:val="clear" w:color="auto" w:fill="FFFFFF"/>
        <w:kinsoku/>
        <w:wordWrap/>
        <w:overflowPunct/>
        <w:topLinePunct w:val="0"/>
        <w:bidi w:val="0"/>
        <w:spacing w:line="560" w:lineRule="exact"/>
        <w:ind w:firstLine="640" w:firstLineChars="200"/>
        <w:textAlignment w:val="auto"/>
        <w:rPr>
          <w:rFonts w:hint="eastAsia" w:ascii="仿宋_GB2312" w:hAnsi="仿宋_GB2312" w:eastAsia="仿宋_GB2312" w:cs="仿宋_GB2312"/>
          <w:sz w:val="32"/>
          <w:szCs w:val="32"/>
        </w:rPr>
      </w:pPr>
      <w:r>
        <w:rPr>
          <w:rFonts w:ascii="仿宋_GB2312" w:hAnsi="仿宋_GB2312" w:eastAsia="仿宋_GB2312" w:cs="仿宋_GB2312"/>
          <w:sz w:val="32"/>
          <w:szCs w:val="32"/>
        </w:rPr>
        <w:t>本公告在拟征收土地涉及的农村集体经济组织所在</w:t>
      </w:r>
      <w:r>
        <w:rPr>
          <w:rFonts w:hint="eastAsia" w:ascii="仿宋_GB2312" w:hAnsi="仿宋_GB2312" w:eastAsia="仿宋_GB2312" w:cs="仿宋_GB2312"/>
          <w:sz w:val="32"/>
          <w:szCs w:val="32"/>
        </w:rPr>
        <w:t>乡</w:t>
      </w:r>
      <w:r>
        <w:rPr>
          <w:rFonts w:ascii="仿宋_GB2312" w:hAnsi="仿宋_GB2312" w:eastAsia="仿宋_GB2312" w:cs="仿宋_GB2312"/>
          <w:sz w:val="32"/>
          <w:szCs w:val="32"/>
        </w:rPr>
        <w:t>镇和村</w:t>
      </w:r>
      <w:r>
        <w:rPr>
          <w:rFonts w:hint="eastAsia" w:ascii="仿宋_GB2312" w:hAnsi="仿宋_GB2312" w:eastAsia="仿宋_GB2312" w:cs="仿宋_GB2312"/>
          <w:sz w:val="32"/>
          <w:szCs w:val="32"/>
        </w:rPr>
        <w:t>委会</w:t>
      </w:r>
      <w:r>
        <w:rPr>
          <w:rFonts w:ascii="仿宋_GB2312" w:hAnsi="仿宋_GB2312" w:eastAsia="仿宋_GB2312" w:cs="仿宋_GB2312"/>
          <w:sz w:val="32"/>
          <w:szCs w:val="32"/>
        </w:rPr>
        <w:t>、村民小组范围内进行公告，听取被征地的农村集体经济组织及其成员、村民委员会和其它利害关系人的意见。</w:t>
      </w:r>
      <w:r>
        <w:rPr>
          <w:rFonts w:hint="eastAsia" w:ascii="仿宋_GB2312" w:hAnsi="仿宋_GB2312" w:eastAsia="仿宋_GB2312" w:cs="仿宋_GB2312"/>
          <w:color w:val="auto"/>
          <w:sz w:val="32"/>
          <w:szCs w:val="32"/>
        </w:rPr>
        <w:t>本公告公示期为30天</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自</w:t>
      </w:r>
      <w:r>
        <w:rPr>
          <w:rFonts w:hint="eastAsia" w:ascii="仿宋_GB2312" w:hAnsi="仿宋_GB2312" w:eastAsia="仿宋_GB2312" w:cs="仿宋_GB2312"/>
          <w:sz w:val="32"/>
          <w:szCs w:val="32"/>
          <w:lang w:val="en-US" w:eastAsia="zh-CN"/>
        </w:rPr>
        <w:t>2024年1月2</w:t>
      </w:r>
      <w:r>
        <w:rPr>
          <w:rFonts w:hint="default" w:ascii="仿宋_GB2312" w:hAnsi="仿宋_GB2312" w:eastAsia="仿宋_GB2312" w:cs="仿宋_GB2312"/>
          <w:sz w:val="32"/>
          <w:szCs w:val="32"/>
          <w:lang w:eastAsia="zh-CN"/>
        </w:rPr>
        <w:t>2</w:t>
      </w:r>
      <w:r>
        <w:rPr>
          <w:rFonts w:hint="eastAsia" w:ascii="仿宋_GB2312" w:hAnsi="仿宋_GB2312" w:eastAsia="仿宋_GB2312" w:cs="仿宋_GB2312"/>
          <w:sz w:val="32"/>
          <w:szCs w:val="32"/>
          <w:lang w:val="en-US" w:eastAsia="zh-CN"/>
        </w:rPr>
        <w:t>日至2024年2月</w:t>
      </w:r>
      <w:r>
        <w:rPr>
          <w:rFonts w:hint="default" w:ascii="仿宋_GB2312" w:hAnsi="仿宋_GB2312" w:eastAsia="仿宋_GB2312" w:cs="仿宋_GB2312"/>
          <w:sz w:val="32"/>
          <w:szCs w:val="32"/>
          <w:lang w:eastAsia="zh-CN"/>
        </w:rPr>
        <w:t>21</w:t>
      </w:r>
      <w:r>
        <w:rPr>
          <w:rFonts w:hint="eastAsia" w:ascii="仿宋_GB2312" w:hAnsi="仿宋_GB2312" w:eastAsia="仿宋_GB2312" w:cs="仿宋_GB2312"/>
          <w:sz w:val="32"/>
          <w:szCs w:val="32"/>
          <w:lang w:val="en-US" w:eastAsia="zh-CN"/>
        </w:rPr>
        <w:t>日</w:t>
      </w:r>
      <w:r>
        <w:rPr>
          <w:rFonts w:ascii="仿宋_GB2312" w:hAnsi="仿宋_GB2312" w:eastAsia="仿宋_GB2312" w:cs="仿宋_GB2312"/>
          <w:sz w:val="32"/>
          <w:szCs w:val="32"/>
        </w:rPr>
        <w:t>。</w:t>
      </w:r>
    </w:p>
    <w:p>
      <w:pPr>
        <w:keepNext w:val="0"/>
        <w:keepLines w:val="0"/>
        <w:pageBreakBefore w:val="0"/>
        <w:kinsoku/>
        <w:wordWrap/>
        <w:overflowPunct/>
        <w:topLinePunct w:val="0"/>
        <w:bidi w:val="0"/>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如对上述有关事项有异议的，被征收土地村委会、村民小组等应在本公告发布之日起</w:t>
      </w:r>
      <w:r>
        <w:rPr>
          <w:rFonts w:hint="eastAsia" w:ascii="仿宋_GB2312" w:hAnsi="仿宋_GB2312" w:eastAsia="仿宋_GB2312" w:cs="仿宋_GB2312"/>
          <w:color w:val="auto"/>
          <w:sz w:val="32"/>
          <w:szCs w:val="32"/>
          <w:lang w:val="en-US" w:eastAsia="zh-CN"/>
        </w:rPr>
        <w:t>30</w:t>
      </w:r>
      <w:r>
        <w:rPr>
          <w:rFonts w:hint="eastAsia" w:ascii="仿宋_GB2312" w:hAnsi="仿宋_GB2312" w:eastAsia="仿宋_GB2312" w:cs="仿宋_GB2312"/>
          <w:color w:val="auto"/>
          <w:sz w:val="32"/>
          <w:szCs w:val="32"/>
        </w:rPr>
        <w:t>天内，以村委会或村民小组为单位，以书面形式将意见送到</w:t>
      </w:r>
      <w:r>
        <w:rPr>
          <w:rFonts w:hint="eastAsia" w:ascii="仿宋_GB2312" w:hAnsi="仿宋_GB2312" w:eastAsia="仿宋_GB2312" w:cs="仿宋_GB2312"/>
          <w:color w:val="auto"/>
          <w:sz w:val="32"/>
          <w:szCs w:val="32"/>
          <w:lang w:val="en-US" w:eastAsia="zh-CN"/>
        </w:rPr>
        <w:t>万城</w:t>
      </w:r>
      <w:r>
        <w:rPr>
          <w:rFonts w:hint="eastAsia" w:ascii="仿宋_GB2312" w:hAnsi="仿宋_GB2312" w:eastAsia="仿宋_GB2312" w:cs="仿宋_GB2312"/>
          <w:color w:val="auto"/>
          <w:sz w:val="32"/>
          <w:szCs w:val="32"/>
        </w:rPr>
        <w:t>镇政府。如无异议，被征地村委会、村民小组应出具确认意见。</w:t>
      </w:r>
    </w:p>
    <w:p>
      <w:pPr>
        <w:keepNext w:val="0"/>
        <w:keepLines w:val="0"/>
        <w:pageBreakBefore w:val="0"/>
        <w:kinsoku/>
        <w:wordWrap/>
        <w:overflowPunct/>
        <w:topLinePunct w:val="0"/>
        <w:bidi w:val="0"/>
        <w:spacing w:line="560" w:lineRule="exact"/>
        <w:ind w:firstLine="640" w:firstLineChars="200"/>
        <w:textAlignment w:val="auto"/>
        <w:rPr>
          <w:rFonts w:hint="eastAsia" w:ascii="仿宋_GB2312" w:eastAsia="仿宋_GB2312"/>
          <w:color w:val="auto"/>
          <w:sz w:val="32"/>
          <w:szCs w:val="32"/>
        </w:rPr>
      </w:pPr>
      <w:r>
        <w:rPr>
          <w:rFonts w:hint="eastAsia" w:ascii="仿宋_GB2312" w:eastAsia="仿宋_GB2312"/>
          <w:color w:val="auto"/>
          <w:sz w:val="32"/>
          <w:szCs w:val="32"/>
        </w:rPr>
        <w:t>根据《国土资源听证规定》，被征地农村集体经济组织和农户对拟征收土地的补偿标准和安置方案有申请听证的权利，当事人需要听证的，应在公告结束前向</w:t>
      </w:r>
      <w:r>
        <w:rPr>
          <w:rFonts w:hint="eastAsia" w:ascii="仿宋_GB2312" w:hAnsi="仿宋_GB2312" w:eastAsia="仿宋_GB2312" w:cs="仿宋_GB2312"/>
          <w:color w:val="auto"/>
          <w:sz w:val="32"/>
          <w:szCs w:val="32"/>
          <w:lang w:val="en-US" w:eastAsia="zh-CN"/>
        </w:rPr>
        <w:t>万城镇政府</w:t>
      </w:r>
      <w:r>
        <w:rPr>
          <w:rFonts w:hint="eastAsia" w:ascii="仿宋_GB2312" w:eastAsia="仿宋_GB2312"/>
          <w:color w:val="auto"/>
          <w:sz w:val="32"/>
          <w:szCs w:val="32"/>
        </w:rPr>
        <w:t>提出书面申请。逾期未提出的，视为放弃听证。</w:t>
      </w:r>
    </w:p>
    <w:p>
      <w:pPr>
        <w:keepNext w:val="0"/>
        <w:keepLines w:val="0"/>
        <w:pageBreakBefore w:val="0"/>
        <w:kinsoku/>
        <w:wordWrap/>
        <w:overflowPunct/>
        <w:topLinePunct w:val="0"/>
        <w:bidi w:val="0"/>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特此公告</w:t>
      </w:r>
      <w:r>
        <w:rPr>
          <w:rFonts w:hint="eastAsia" w:ascii="仿宋_GB2312" w:hAnsi="仿宋_GB2312" w:eastAsia="仿宋_GB2312" w:cs="仿宋_GB2312"/>
          <w:sz w:val="32"/>
          <w:szCs w:val="32"/>
          <w:lang w:eastAsia="zh-CN"/>
        </w:rPr>
        <w:t>。</w:t>
      </w:r>
    </w:p>
    <w:p>
      <w:pPr>
        <w:keepNext w:val="0"/>
        <w:keepLines w:val="0"/>
        <w:pageBreakBefore w:val="0"/>
        <w:widowControl w:val="0"/>
        <w:tabs>
          <w:tab w:val="left" w:pos="8820"/>
        </w:tabs>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仿宋_GB2312" w:eastAsia="仿宋_GB2312"/>
          <w:color w:val="auto"/>
          <w:sz w:val="32"/>
          <w:szCs w:val="32"/>
          <w:lang w:val="en-US" w:eastAsia="zh-CN"/>
        </w:rPr>
      </w:pPr>
    </w:p>
    <w:p>
      <w:pPr>
        <w:pStyle w:val="2"/>
        <w:keepNext w:val="0"/>
        <w:keepLines w:val="0"/>
        <w:pageBreakBefore w:val="0"/>
        <w:widowControl w:val="0"/>
        <w:kinsoku/>
        <w:wordWrap/>
        <w:overflowPunct/>
        <w:topLinePunct w:val="0"/>
        <w:bidi w:val="0"/>
        <w:snapToGrid/>
        <w:spacing w:line="560" w:lineRule="exact"/>
        <w:textAlignment w:val="auto"/>
        <w:rPr>
          <w:rFonts w:hint="eastAsia"/>
          <w:color w:val="auto"/>
          <w:lang w:val="en-US" w:eastAsia="zh-CN"/>
        </w:rPr>
      </w:pPr>
    </w:p>
    <w:p>
      <w:pPr>
        <w:pStyle w:val="3"/>
        <w:keepNext w:val="0"/>
        <w:keepLines w:val="0"/>
        <w:pageBreakBefore w:val="0"/>
        <w:widowControl w:val="0"/>
        <w:kinsoku/>
        <w:wordWrap/>
        <w:overflowPunct/>
        <w:topLinePunct w:val="0"/>
        <w:bidi w:val="0"/>
        <w:spacing w:line="560" w:lineRule="exact"/>
        <w:jc w:val="both"/>
        <w:textAlignment w:val="auto"/>
        <w:rPr>
          <w:rFonts w:hint="eastAsia"/>
          <w:color w:val="auto"/>
          <w:lang w:val="en-US" w:eastAsia="zh-CN"/>
        </w:rPr>
      </w:pPr>
    </w:p>
    <w:p>
      <w:pPr>
        <w:keepNext w:val="0"/>
        <w:keepLines w:val="0"/>
        <w:pageBreakBefore w:val="0"/>
        <w:widowControl w:val="0"/>
        <w:tabs>
          <w:tab w:val="left" w:pos="8820"/>
        </w:tabs>
        <w:kinsoku/>
        <w:wordWrap/>
        <w:overflowPunct/>
        <w:topLinePunct w:val="0"/>
        <w:autoSpaceDE/>
        <w:autoSpaceDN/>
        <w:bidi w:val="0"/>
        <w:adjustRightInd/>
        <w:snapToGrid/>
        <w:spacing w:line="560" w:lineRule="exact"/>
        <w:ind w:left="0" w:leftChars="0" w:right="0" w:rightChars="0" w:firstLine="5280" w:firstLineChars="1650"/>
        <w:jc w:val="both"/>
        <w:textAlignment w:val="auto"/>
        <w:outlineLvl w:val="9"/>
        <w:rPr>
          <w:rFonts w:hint="eastAsia" w:ascii="仿宋_GB2312" w:eastAsia="仿宋_GB2312"/>
          <w:color w:val="auto"/>
          <w:sz w:val="32"/>
          <w:szCs w:val="32"/>
          <w:lang w:val="zh-CN"/>
        </w:rPr>
      </w:pPr>
      <w:r>
        <w:rPr>
          <w:rFonts w:hint="eastAsia" w:ascii="仿宋_GB2312" w:eastAsia="仿宋_GB2312"/>
          <w:color w:val="auto"/>
          <w:sz w:val="32"/>
          <w:szCs w:val="32"/>
          <w:lang w:val="en-US" w:eastAsia="zh-CN"/>
        </w:rPr>
        <w:t>万宁</w:t>
      </w:r>
      <w:r>
        <w:rPr>
          <w:rFonts w:hint="eastAsia" w:ascii="仿宋_GB2312" w:eastAsia="仿宋_GB2312"/>
          <w:color w:val="auto"/>
          <w:sz w:val="32"/>
          <w:szCs w:val="32"/>
          <w:lang w:val="zh-CN"/>
        </w:rPr>
        <w:t>市人民政府</w:t>
      </w:r>
    </w:p>
    <w:p>
      <w:pPr>
        <w:keepNext w:val="0"/>
        <w:keepLines w:val="0"/>
        <w:pageBreakBefore w:val="0"/>
        <w:widowControl w:val="0"/>
        <w:tabs>
          <w:tab w:val="left" w:pos="8820"/>
        </w:tabs>
        <w:kinsoku/>
        <w:wordWrap/>
        <w:overflowPunct/>
        <w:topLinePunct w:val="0"/>
        <w:autoSpaceDE/>
        <w:autoSpaceDN/>
        <w:bidi w:val="0"/>
        <w:adjustRightInd/>
        <w:snapToGrid/>
        <w:spacing w:line="560" w:lineRule="exact"/>
        <w:ind w:right="0" w:rightChars="0"/>
        <w:jc w:val="center"/>
        <w:textAlignment w:val="auto"/>
        <w:outlineLvl w:val="9"/>
        <w:rPr>
          <w:rFonts w:hint="eastAsia" w:ascii="仿宋_GB2312" w:eastAsia="仿宋_GB2312"/>
          <w:color w:val="auto"/>
          <w:sz w:val="32"/>
          <w:szCs w:val="32"/>
          <w:lang w:val="zh-CN"/>
        </w:rPr>
      </w:pPr>
      <w:r>
        <w:rPr>
          <w:rFonts w:hint="eastAsia" w:ascii="仿宋_GB2312" w:eastAsia="仿宋_GB2312"/>
          <w:color w:val="auto"/>
          <w:sz w:val="32"/>
          <w:szCs w:val="32"/>
          <w:lang w:val="en-US" w:eastAsia="zh-CN"/>
        </w:rPr>
        <w:t xml:space="preserve">                         2024</w:t>
      </w:r>
      <w:r>
        <w:rPr>
          <w:rFonts w:hint="eastAsia" w:ascii="仿宋_GB2312" w:eastAsia="仿宋_GB2312"/>
          <w:color w:val="auto"/>
          <w:sz w:val="32"/>
          <w:szCs w:val="32"/>
          <w:lang w:val="zh-CN"/>
        </w:rPr>
        <w:t>年</w:t>
      </w:r>
      <w:r>
        <w:rPr>
          <w:rFonts w:hint="eastAsia" w:ascii="仿宋_GB2312" w:eastAsia="仿宋_GB2312"/>
          <w:color w:val="auto"/>
          <w:sz w:val="32"/>
          <w:szCs w:val="32"/>
          <w:lang w:val="en-US" w:eastAsia="zh-CN"/>
        </w:rPr>
        <w:t>1</w:t>
      </w:r>
      <w:r>
        <w:rPr>
          <w:rFonts w:hint="eastAsia" w:ascii="仿宋_GB2312" w:eastAsia="仿宋_GB2312"/>
          <w:color w:val="auto"/>
          <w:sz w:val="32"/>
          <w:szCs w:val="32"/>
          <w:lang w:val="zh-CN"/>
        </w:rPr>
        <w:t>月</w:t>
      </w:r>
      <w:r>
        <w:rPr>
          <w:rFonts w:hint="eastAsia" w:ascii="仿宋_GB2312" w:eastAsia="仿宋_GB2312"/>
          <w:color w:val="auto"/>
          <w:sz w:val="32"/>
          <w:szCs w:val="32"/>
          <w:lang w:val="en-US" w:eastAsia="zh-CN"/>
        </w:rPr>
        <w:t>22</w:t>
      </w:r>
      <w:r>
        <w:rPr>
          <w:rFonts w:hint="eastAsia" w:ascii="仿宋_GB2312" w:eastAsia="仿宋_GB2312"/>
          <w:color w:val="auto"/>
          <w:sz w:val="32"/>
          <w:szCs w:val="32"/>
          <w:lang w:val="zh-CN"/>
        </w:rPr>
        <w:t>日</w:t>
      </w:r>
    </w:p>
    <w:p>
      <w:pPr>
        <w:keepNext w:val="0"/>
        <w:keepLines w:val="0"/>
        <w:pageBreakBefore w:val="0"/>
        <w:widowControl w:val="0"/>
        <w:tabs>
          <w:tab w:val="left" w:pos="8820"/>
        </w:tabs>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仿宋_GB2312" w:eastAsia="仿宋_GB2312"/>
          <w:color w:val="auto"/>
          <w:sz w:val="32"/>
          <w:szCs w:val="32"/>
          <w:lang w:val="zh-CN"/>
        </w:rPr>
      </w:pPr>
      <w:r>
        <w:rPr>
          <w:rFonts w:hint="eastAsia" w:ascii="仿宋_GB2312" w:eastAsia="仿宋_GB2312"/>
          <w:color w:val="auto"/>
          <w:sz w:val="32"/>
          <w:szCs w:val="32"/>
          <w:lang w:val="zh-CN"/>
        </w:rPr>
        <w:t>（此件主动公开）</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方正小标宋_GBK" w:hAnsi="方正小标宋_GBK" w:eastAsia="方正小标宋_GBK" w:cs="方正小标宋_GBK"/>
          <w:b w:val="0"/>
          <w:bCs w:val="0"/>
          <w:color w:val="auto"/>
          <w:sz w:val="44"/>
          <w:szCs w:val="44"/>
          <w:lang w:val="en-US" w:eastAsia="zh-CN"/>
        </w:rPr>
      </w:pPr>
    </w:p>
    <w:p>
      <w:pPr>
        <w:pStyle w:val="19"/>
        <w:keepNext w:val="0"/>
        <w:keepLines w:val="0"/>
        <w:pageBreakBefore w:val="0"/>
        <w:widowControl w:val="0"/>
        <w:kinsoku/>
        <w:wordWrap/>
        <w:overflowPunct/>
        <w:topLinePunct w:val="0"/>
        <w:autoSpaceDE/>
        <w:autoSpaceDN/>
        <w:bidi w:val="0"/>
        <w:adjustRightInd/>
        <w:snapToGrid/>
        <w:spacing w:after="0" w:line="560" w:lineRule="exact"/>
        <w:textAlignment w:val="auto"/>
        <w:rPr>
          <w:rFonts w:hint="eastAsia" w:ascii="仿宋_GB2312" w:eastAsia="仿宋_GB2312"/>
          <w:color w:val="auto"/>
          <w:sz w:val="32"/>
          <w:szCs w:val="32"/>
          <w:lang w:val="zh-CN"/>
        </w:rPr>
      </w:pPr>
    </w:p>
    <w:p>
      <w:pPr>
        <w:pStyle w:val="19"/>
        <w:keepNext w:val="0"/>
        <w:keepLines w:val="0"/>
        <w:pageBreakBefore w:val="0"/>
        <w:widowControl w:val="0"/>
        <w:kinsoku/>
        <w:wordWrap/>
        <w:overflowPunct/>
        <w:topLinePunct w:val="0"/>
        <w:autoSpaceDE/>
        <w:autoSpaceDN/>
        <w:bidi w:val="0"/>
        <w:adjustRightInd/>
        <w:snapToGrid/>
        <w:spacing w:after="0" w:line="560" w:lineRule="exact"/>
        <w:textAlignment w:val="auto"/>
        <w:rPr>
          <w:rFonts w:hint="eastAsia" w:ascii="仿宋_GB2312" w:eastAsia="仿宋_GB2312"/>
          <w:color w:val="auto"/>
          <w:sz w:val="32"/>
          <w:szCs w:val="32"/>
          <w:lang w:val="zh-CN"/>
        </w:rPr>
      </w:pPr>
    </w:p>
    <w:p>
      <w:pPr>
        <w:pStyle w:val="19"/>
        <w:keepNext w:val="0"/>
        <w:keepLines w:val="0"/>
        <w:pageBreakBefore w:val="0"/>
        <w:widowControl w:val="0"/>
        <w:kinsoku/>
        <w:wordWrap/>
        <w:overflowPunct/>
        <w:topLinePunct w:val="0"/>
        <w:autoSpaceDE/>
        <w:autoSpaceDN/>
        <w:bidi w:val="0"/>
        <w:adjustRightInd/>
        <w:snapToGrid/>
        <w:spacing w:after="0" w:line="560" w:lineRule="exact"/>
        <w:textAlignment w:val="auto"/>
        <w:rPr>
          <w:rFonts w:hint="eastAsia" w:ascii="仿宋_GB2312" w:eastAsia="仿宋_GB2312"/>
          <w:color w:val="auto"/>
          <w:sz w:val="32"/>
          <w:szCs w:val="32"/>
          <w:lang w:val="zh-CN"/>
        </w:rPr>
      </w:pPr>
    </w:p>
    <w:p>
      <w:pPr>
        <w:pStyle w:val="19"/>
        <w:keepNext w:val="0"/>
        <w:keepLines w:val="0"/>
        <w:pageBreakBefore w:val="0"/>
        <w:widowControl w:val="0"/>
        <w:kinsoku/>
        <w:wordWrap/>
        <w:overflowPunct/>
        <w:topLinePunct w:val="0"/>
        <w:autoSpaceDE/>
        <w:autoSpaceDN/>
        <w:bidi w:val="0"/>
        <w:adjustRightInd/>
        <w:snapToGrid/>
        <w:spacing w:after="0" w:line="560" w:lineRule="exact"/>
        <w:textAlignment w:val="auto"/>
        <w:rPr>
          <w:rFonts w:hint="eastAsia" w:ascii="仿宋_GB2312" w:eastAsia="仿宋_GB2312"/>
          <w:color w:val="auto"/>
          <w:sz w:val="32"/>
          <w:szCs w:val="32"/>
          <w:lang w:val="zh-CN"/>
        </w:rPr>
      </w:pPr>
    </w:p>
    <w:p>
      <w:pPr>
        <w:pStyle w:val="19"/>
        <w:keepNext w:val="0"/>
        <w:keepLines w:val="0"/>
        <w:pageBreakBefore w:val="0"/>
        <w:widowControl w:val="0"/>
        <w:kinsoku/>
        <w:wordWrap/>
        <w:overflowPunct/>
        <w:topLinePunct w:val="0"/>
        <w:autoSpaceDE/>
        <w:autoSpaceDN/>
        <w:bidi w:val="0"/>
        <w:adjustRightInd/>
        <w:snapToGrid/>
        <w:spacing w:after="0" w:line="560" w:lineRule="exact"/>
        <w:textAlignment w:val="auto"/>
        <w:rPr>
          <w:rFonts w:hint="eastAsia" w:ascii="仿宋_GB2312" w:eastAsia="仿宋_GB2312"/>
          <w:color w:val="auto"/>
          <w:sz w:val="32"/>
          <w:szCs w:val="32"/>
          <w:lang w:val="zh-CN"/>
        </w:rPr>
      </w:pPr>
      <w:bookmarkStart w:id="0" w:name="_GoBack"/>
      <w:bookmarkEnd w:id="0"/>
    </w:p>
    <w:p>
      <w:pPr>
        <w:pStyle w:val="19"/>
        <w:keepNext w:val="0"/>
        <w:keepLines w:val="0"/>
        <w:pageBreakBefore w:val="0"/>
        <w:widowControl w:val="0"/>
        <w:kinsoku/>
        <w:wordWrap/>
        <w:overflowPunct/>
        <w:topLinePunct w:val="0"/>
        <w:autoSpaceDE/>
        <w:autoSpaceDN/>
        <w:bidi w:val="0"/>
        <w:adjustRightInd/>
        <w:snapToGrid/>
        <w:spacing w:after="0" w:line="560" w:lineRule="exact"/>
        <w:textAlignment w:val="auto"/>
        <w:rPr>
          <w:rFonts w:hint="eastAsia" w:ascii="仿宋_GB2312" w:eastAsia="仿宋_GB2312"/>
          <w:color w:val="auto"/>
          <w:sz w:val="32"/>
          <w:szCs w:val="32"/>
          <w:lang w:val="zh-CN"/>
        </w:rPr>
      </w:pPr>
    </w:p>
    <w:p>
      <w:pPr>
        <w:pStyle w:val="19"/>
        <w:keepNext w:val="0"/>
        <w:keepLines w:val="0"/>
        <w:pageBreakBefore w:val="0"/>
        <w:widowControl w:val="0"/>
        <w:kinsoku/>
        <w:wordWrap/>
        <w:overflowPunct/>
        <w:topLinePunct w:val="0"/>
        <w:autoSpaceDE/>
        <w:autoSpaceDN/>
        <w:bidi w:val="0"/>
        <w:adjustRightInd/>
        <w:snapToGrid/>
        <w:spacing w:after="0" w:line="900" w:lineRule="exact"/>
        <w:textAlignment w:val="auto"/>
        <w:rPr>
          <w:rFonts w:hint="eastAsia" w:ascii="仿宋_GB2312" w:eastAsia="仿宋_GB2312"/>
          <w:color w:val="auto"/>
          <w:sz w:val="32"/>
          <w:szCs w:val="32"/>
          <w:lang w:val="zh-CN"/>
        </w:rPr>
      </w:pPr>
    </w:p>
    <w:p>
      <w:pPr>
        <w:keepNext w:val="0"/>
        <w:keepLines w:val="0"/>
        <w:pageBreakBefore w:val="0"/>
        <w:widowControl w:val="0"/>
        <w:kinsoku/>
        <w:wordWrap/>
        <w:overflowPunct/>
        <w:topLinePunct w:val="0"/>
        <w:autoSpaceDE/>
        <w:autoSpaceDN/>
        <w:bidi w:val="0"/>
        <w:adjustRightInd/>
        <w:snapToGrid/>
        <w:spacing w:line="560" w:lineRule="exact"/>
        <w:ind w:firstLine="280" w:firstLineChars="100"/>
        <w:textAlignment w:val="auto"/>
        <w:outlineLvl w:val="9"/>
        <w:rPr>
          <w:rFonts w:hint="default" w:ascii="仿宋_GB2312" w:hAnsi="仿宋_GB2312" w:eastAsia="仿宋_GB2312" w:cs="仿宋_GB2312"/>
          <w:b w:val="0"/>
          <w:bCs w:val="0"/>
          <w:color w:val="auto"/>
          <w:sz w:val="32"/>
          <w:szCs w:val="32"/>
          <w:lang w:eastAsia="zh-CN"/>
        </w:rPr>
      </w:pPr>
      <w:r>
        <w:rPr>
          <w:rFonts w:hint="eastAsia" w:ascii="宋体" w:hAnsi="宋体" w:cs="宋体"/>
          <w:color w:val="auto"/>
          <w:sz w:val="28"/>
          <w:szCs w:val="28"/>
        </w:rPr>
        <mc:AlternateContent>
          <mc:Choice Requires="wps">
            <w:drawing>
              <wp:anchor distT="0" distB="0" distL="114300" distR="114300" simplePos="0" relativeHeight="251659264" behindDoc="0" locked="0" layoutInCell="1" allowOverlap="1">
                <wp:simplePos x="0" y="0"/>
                <wp:positionH relativeFrom="column">
                  <wp:posOffset>4445</wp:posOffset>
                </wp:positionH>
                <wp:positionV relativeFrom="paragraph">
                  <wp:posOffset>29210</wp:posOffset>
                </wp:positionV>
                <wp:extent cx="5600700" cy="635"/>
                <wp:effectExtent l="0" t="0" r="0" b="0"/>
                <wp:wrapNone/>
                <wp:docPr id="3" name="直接连接符 3"/>
                <wp:cNvGraphicFramePr/>
                <a:graphic xmlns:a="http://schemas.openxmlformats.org/drawingml/2006/main">
                  <a:graphicData uri="http://schemas.microsoft.com/office/word/2010/wordprocessingShape">
                    <wps:wsp>
                      <wps:cNvCnPr/>
                      <wps:spPr>
                        <a:xfrm>
                          <a:off x="0" y="0"/>
                          <a:ext cx="5600700" cy="635"/>
                        </a:xfrm>
                        <a:prstGeom prst="line">
                          <a:avLst/>
                        </a:prstGeom>
                        <a:ln w="9525" cap="flat" cmpd="sng">
                          <a:solidFill>
                            <a:srgbClr val="000000"/>
                          </a:solidFill>
                          <a:prstDash val="solid"/>
                          <a:round/>
                          <a:headEnd type="none" w="med" len="med"/>
                          <a:tailEnd type="none" w="med" len="med"/>
                        </a:ln>
                        <a:effectLst/>
                      </wps:spPr>
                      <wps:bodyPr upright="1"/>
                    </wps:wsp>
                  </a:graphicData>
                </a:graphic>
              </wp:anchor>
            </w:drawing>
          </mc:Choice>
          <mc:Fallback>
            <w:pict>
              <v:line id="_x0000_s1026" o:spid="_x0000_s1026" o:spt="20" style="position:absolute;left:0pt;margin-left:0.35pt;margin-top:2.3pt;height:0.05pt;width:441pt;z-index:251659264;mso-width-relative:page;mso-height-relative:page;" filled="f" stroked="t" coordsize="21600,21600" o:gfxdata="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">
                <v:fill on="f" focussize="0,0"/>
                <v:stroke color="#000000" joinstyle="round"/>
                <v:imagedata o:title=""/>
                <o:lock v:ext="edit" aspectratio="f"/>
              </v:line>
            </w:pict>
          </mc:Fallback>
        </mc:AlternateContent>
      </w:r>
      <w:r>
        <w:rPr>
          <w:rFonts w:hint="eastAsia" w:ascii="宋体" w:hAnsi="宋体" w:cs="宋体"/>
          <w:color w:val="auto"/>
          <w:sz w:val="28"/>
          <w:szCs w:val="28"/>
        </w:rPr>
        <mc:AlternateContent>
          <mc:Choice Requires="wps">
            <w:drawing>
              <wp:anchor distT="0" distB="0" distL="114300" distR="114300" simplePos="0" relativeHeight="251660288" behindDoc="0" locked="0" layoutInCell="1" allowOverlap="1">
                <wp:simplePos x="0" y="0"/>
                <wp:positionH relativeFrom="column">
                  <wp:posOffset>13970</wp:posOffset>
                </wp:positionH>
                <wp:positionV relativeFrom="paragraph">
                  <wp:posOffset>410210</wp:posOffset>
                </wp:positionV>
                <wp:extent cx="5600700" cy="635"/>
                <wp:effectExtent l="0" t="0" r="0" b="0"/>
                <wp:wrapNone/>
                <wp:docPr id="2" name="直接连接符 2"/>
                <wp:cNvGraphicFramePr/>
                <a:graphic xmlns:a="http://schemas.openxmlformats.org/drawingml/2006/main">
                  <a:graphicData uri="http://schemas.microsoft.com/office/word/2010/wordprocessingShape">
                    <wps:wsp>
                      <wps:cNvCnPr/>
                      <wps:spPr>
                        <a:xfrm>
                          <a:off x="0" y="0"/>
                          <a:ext cx="5600700" cy="635"/>
                        </a:xfrm>
                        <a:prstGeom prst="line">
                          <a:avLst/>
                        </a:prstGeom>
                        <a:ln w="9525" cap="flat" cmpd="sng">
                          <a:solidFill>
                            <a:srgbClr val="000000"/>
                          </a:solidFill>
                          <a:prstDash val="solid"/>
                          <a:round/>
                          <a:headEnd type="none" w="med" len="med"/>
                          <a:tailEnd type="none" w="med" len="med"/>
                        </a:ln>
                        <a:effectLst/>
                      </wps:spPr>
                      <wps:bodyPr upright="1"/>
                    </wps:wsp>
                  </a:graphicData>
                </a:graphic>
              </wp:anchor>
            </w:drawing>
          </mc:Choice>
          <mc:Fallback>
            <w:pict>
              <v:line id="_x0000_s1026" o:spid="_x0000_s1026" o:spt="20" style="position:absolute;left:0pt;margin-left:1.1pt;margin-top:32.3pt;height:0.05pt;width:441pt;z-index:251660288;mso-width-relative:page;mso-height-relative:page;" filled="f" stroked="t" coordsize="21600,21600" o:gfxdata="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">
                <v:fill on="f" focussize="0,0"/>
                <v:stroke color="#000000" joinstyle="round"/>
                <v:imagedata o:title=""/>
                <o:lock v:ext="edit" aspectratio="f"/>
              </v:line>
            </w:pict>
          </mc:Fallback>
        </mc:AlternateContent>
      </w:r>
      <w:r>
        <w:rPr>
          <w:rFonts w:hint="eastAsia" w:ascii="仿宋_GB2312" w:hAnsi="宋体" w:eastAsia="仿宋_GB2312" w:cs="宋体"/>
          <w:color w:val="auto"/>
          <w:sz w:val="28"/>
          <w:szCs w:val="28"/>
        </w:rPr>
        <w:t xml:space="preserve">万宁市人民政府办公室       </w:t>
      </w:r>
      <w:r>
        <w:rPr>
          <w:rFonts w:hint="eastAsia" w:ascii="仿宋_GB2312" w:hAnsi="宋体" w:eastAsia="仿宋_GB2312" w:cs="宋体"/>
          <w:color w:val="auto"/>
          <w:sz w:val="28"/>
          <w:szCs w:val="28"/>
          <w:lang w:val="en-US" w:eastAsia="zh-CN"/>
        </w:rPr>
        <w:t xml:space="preserve">    </w:t>
      </w:r>
      <w:r>
        <w:rPr>
          <w:rFonts w:hint="eastAsia" w:ascii="仿宋_GB2312" w:hAnsi="宋体" w:eastAsia="仿宋_GB2312" w:cs="宋体"/>
          <w:color w:val="auto"/>
          <w:sz w:val="28"/>
          <w:szCs w:val="28"/>
        </w:rPr>
        <w:t xml:space="preserve"> </w:t>
      </w:r>
      <w:r>
        <w:rPr>
          <w:rFonts w:hint="eastAsia" w:ascii="仿宋_GB2312" w:hAnsi="宋体" w:eastAsia="仿宋_GB2312" w:cs="宋体"/>
          <w:color w:val="auto"/>
          <w:sz w:val="28"/>
          <w:szCs w:val="28"/>
          <w:lang w:val="en-US" w:eastAsia="zh-CN"/>
        </w:rPr>
        <w:t xml:space="preserve">    </w:t>
      </w:r>
      <w:r>
        <w:rPr>
          <w:rFonts w:hint="default" w:ascii="仿宋_GB2312" w:hAnsi="宋体" w:eastAsia="仿宋_GB2312" w:cs="宋体"/>
          <w:color w:val="auto"/>
          <w:sz w:val="28"/>
          <w:szCs w:val="28"/>
          <w:lang w:val="en-US" w:eastAsia="zh-CN"/>
        </w:rPr>
        <w:t xml:space="preserve"> </w:t>
      </w:r>
      <w:r>
        <w:rPr>
          <w:rFonts w:hint="eastAsia" w:ascii="仿宋_GB2312" w:hAnsi="宋体" w:eastAsia="仿宋_GB2312" w:cs="宋体"/>
          <w:color w:val="auto"/>
          <w:sz w:val="28"/>
          <w:szCs w:val="28"/>
        </w:rPr>
        <w:t xml:space="preserve"> </w:t>
      </w:r>
      <w:r>
        <w:rPr>
          <w:rFonts w:hint="eastAsia" w:ascii="仿宋_GB2312" w:hAnsi="宋体" w:eastAsia="仿宋_GB2312" w:cs="宋体"/>
          <w:color w:val="auto"/>
          <w:sz w:val="28"/>
          <w:szCs w:val="28"/>
          <w:lang w:val="en-US" w:eastAsia="zh-CN"/>
        </w:rPr>
        <w:t xml:space="preserve">  </w:t>
      </w:r>
      <w:r>
        <w:rPr>
          <w:rFonts w:hint="eastAsia" w:ascii="仿宋_GB2312" w:hAnsi="宋体" w:eastAsia="仿宋_GB2312" w:cs="宋体"/>
          <w:color w:val="auto"/>
          <w:sz w:val="28"/>
          <w:szCs w:val="28"/>
        </w:rPr>
        <w:t>20</w:t>
      </w:r>
      <w:r>
        <w:rPr>
          <w:rFonts w:hint="eastAsia" w:ascii="仿宋_GB2312" w:hAnsi="宋体" w:eastAsia="仿宋_GB2312" w:cs="宋体"/>
          <w:color w:val="auto"/>
          <w:sz w:val="28"/>
          <w:szCs w:val="28"/>
          <w:lang w:val="en-US" w:eastAsia="zh-CN"/>
        </w:rPr>
        <w:t>24</w:t>
      </w:r>
      <w:r>
        <w:rPr>
          <w:rFonts w:hint="eastAsia" w:ascii="仿宋_GB2312" w:hAnsi="宋体" w:eastAsia="仿宋_GB2312" w:cs="宋体"/>
          <w:color w:val="auto"/>
          <w:sz w:val="28"/>
          <w:szCs w:val="28"/>
        </w:rPr>
        <w:t>年</w:t>
      </w:r>
      <w:r>
        <w:rPr>
          <w:rFonts w:hint="eastAsia" w:ascii="仿宋_GB2312" w:hAnsi="宋体" w:eastAsia="仿宋_GB2312" w:cs="宋体"/>
          <w:color w:val="auto"/>
          <w:sz w:val="28"/>
          <w:szCs w:val="28"/>
          <w:lang w:val="en-US" w:eastAsia="zh-CN"/>
        </w:rPr>
        <w:t>1</w:t>
      </w:r>
      <w:r>
        <w:rPr>
          <w:rFonts w:hint="eastAsia" w:ascii="仿宋_GB2312" w:hAnsi="宋体" w:eastAsia="仿宋_GB2312" w:cs="宋体"/>
          <w:color w:val="auto"/>
          <w:sz w:val="28"/>
          <w:szCs w:val="28"/>
        </w:rPr>
        <w:t>月</w:t>
      </w:r>
      <w:r>
        <w:rPr>
          <w:rFonts w:hint="eastAsia" w:ascii="仿宋_GB2312" w:hAnsi="宋体" w:eastAsia="仿宋_GB2312" w:cs="宋体"/>
          <w:color w:val="auto"/>
          <w:sz w:val="28"/>
          <w:szCs w:val="28"/>
          <w:lang w:val="en-US" w:eastAsia="zh-CN"/>
        </w:rPr>
        <w:t>22</w:t>
      </w:r>
      <w:r>
        <w:rPr>
          <w:rFonts w:hint="eastAsia" w:ascii="仿宋_GB2312" w:hAnsi="宋体" w:eastAsia="仿宋_GB2312" w:cs="宋体"/>
          <w:color w:val="auto"/>
          <w:sz w:val="28"/>
          <w:szCs w:val="28"/>
        </w:rPr>
        <w:t xml:space="preserve">日印发 </w:t>
      </w:r>
    </w:p>
    <w:sectPr>
      <w:footerReference r:id="rId3" w:type="default"/>
      <w:pgSz w:w="11906" w:h="16838"/>
      <w:pgMar w:top="2098" w:right="1474" w:bottom="1984" w:left="1587"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01"/>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Nimbus Roman No9 L">
    <w:panose1 w:val="00000000000000000000"/>
    <w:charset w:val="00"/>
    <w:family w:val="auto"/>
    <w:pitch w:val="default"/>
    <w:sig w:usb0="00000000" w:usb1="00000000" w:usb2="00000000" w:usb3="00000000" w:csb0="00000000" w:csb1="00000000"/>
  </w:font>
  <w:font w:name="Calibri">
    <w:altName w:val="DejaVu Sans"/>
    <w:panose1 w:val="020F0502020204030204"/>
    <w:charset w:val="00"/>
    <w:family w:val="swiss"/>
    <w:pitch w:val="default"/>
    <w:sig w:usb0="00000000" w:usb1="00000000" w:usb2="00000001" w:usb3="00000000" w:csb0="0000019F" w:csb1="00000000"/>
  </w:font>
  <w:font w:name="DejaVu Sans">
    <w:panose1 w:val="020B0603030804020204"/>
    <w:charset w:val="00"/>
    <w:family w:val="auto"/>
    <w:pitch w:val="default"/>
    <w:sig w:usb0="E7006EFF" w:usb1="D200FDFF" w:usb2="0A246029" w:usb3="0400200C" w:csb0="600001FF" w:csb1="DFFF0000"/>
  </w:font>
  <w:font w:name="方正书宋_GBK">
    <w:panose1 w:val="02000000000000000000"/>
    <w:charset w:val="86"/>
    <w:family w:val="auto"/>
    <w:pitch w:val="default"/>
    <w:sig w:usb0="00000001" w:usb1="08000000" w:usb2="00000000" w:usb3="00000000" w:csb0="00040000" w:csb1="00000000"/>
  </w:font>
  <w:font w:name="Calibri Light">
    <w:altName w:val="DejaVu Sans"/>
    <w:panose1 w:val="020F0302020204030204"/>
    <w:charset w:val="00"/>
    <w:family w:val="swiss"/>
    <w:pitch w:val="default"/>
    <w:sig w:usb0="00000000" w:usb1="00000000" w:usb2="00000000" w:usb3="00000000" w:csb0="2000019F"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方正小标宋_GBK">
    <w:panose1 w:val="02000000000000000000"/>
    <w:charset w:val="86"/>
    <w:family w:val="auto"/>
    <w:pitch w:val="default"/>
    <w:sig w:usb0="00000001" w:usb1="08000000" w:usb2="00000000" w:usb3="00000000" w:csb0="00040000" w:csb1="00000000"/>
  </w:font>
  <w:font w:name="楷体_GB2312">
    <w:altName w:val="楷体"/>
    <w:panose1 w:val="02010609030101010101"/>
    <w:charset w:val="00"/>
    <w:family w:val="modern"/>
    <w:pitch w:val="default"/>
    <w:sig w:usb0="00000000" w:usb1="00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-228600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- 1 -</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18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">
              <v:fill on="f" focussize="0,0"/>
              <v:stroke on="f" weight="0.5pt"/>
              <v:imagedata o:title=""/>
              <o:lock v:ext="edit" aspectratio="f"/>
              <v:textbox inset="0mm,0mm,0mm,0mm" style="mso-fit-shape-to-text:t;">
                <w:txbxContent>
                  <w:p>
                    <w:pPr>
                      <w:pStyle w:val="12"/>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- 1 -</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3AC724E"/>
    <w:rsid w:val="00465CE8"/>
    <w:rsid w:val="00A529ED"/>
    <w:rsid w:val="03B33566"/>
    <w:rsid w:val="03BE6BCC"/>
    <w:rsid w:val="06551917"/>
    <w:rsid w:val="06F30C05"/>
    <w:rsid w:val="0D1F36F9"/>
    <w:rsid w:val="0D27050C"/>
    <w:rsid w:val="1461632C"/>
    <w:rsid w:val="18B675FA"/>
    <w:rsid w:val="19D06C42"/>
    <w:rsid w:val="1A6703E7"/>
    <w:rsid w:val="1AE22154"/>
    <w:rsid w:val="1CFEDF34"/>
    <w:rsid w:val="1DDEC043"/>
    <w:rsid w:val="1E1C0850"/>
    <w:rsid w:val="1FD92B5A"/>
    <w:rsid w:val="20760DCE"/>
    <w:rsid w:val="28ADC2A4"/>
    <w:rsid w:val="2C762F49"/>
    <w:rsid w:val="2DAD606A"/>
    <w:rsid w:val="30B56EC8"/>
    <w:rsid w:val="328C4344"/>
    <w:rsid w:val="38661CD1"/>
    <w:rsid w:val="392F3306"/>
    <w:rsid w:val="39666E46"/>
    <w:rsid w:val="3CD46B0B"/>
    <w:rsid w:val="3FE7C5F7"/>
    <w:rsid w:val="3FF50151"/>
    <w:rsid w:val="3FFF436B"/>
    <w:rsid w:val="424A1C67"/>
    <w:rsid w:val="437EACF8"/>
    <w:rsid w:val="44AC3D46"/>
    <w:rsid w:val="45C86DDD"/>
    <w:rsid w:val="48235E4A"/>
    <w:rsid w:val="4A4A0D5B"/>
    <w:rsid w:val="4B7E6AA8"/>
    <w:rsid w:val="4C5F1D44"/>
    <w:rsid w:val="4DC01666"/>
    <w:rsid w:val="4FFE5C10"/>
    <w:rsid w:val="51F30AA5"/>
    <w:rsid w:val="523D372B"/>
    <w:rsid w:val="526771A7"/>
    <w:rsid w:val="53AC724E"/>
    <w:rsid w:val="574341EA"/>
    <w:rsid w:val="59AD11B0"/>
    <w:rsid w:val="59DF5F83"/>
    <w:rsid w:val="5AEBFAA2"/>
    <w:rsid w:val="5AFE89D2"/>
    <w:rsid w:val="5B1D4125"/>
    <w:rsid w:val="5B73D9E4"/>
    <w:rsid w:val="5DAB6ECF"/>
    <w:rsid w:val="5EF67D79"/>
    <w:rsid w:val="5EFE57A9"/>
    <w:rsid w:val="5F5E69A0"/>
    <w:rsid w:val="5FA641C1"/>
    <w:rsid w:val="5FFD8814"/>
    <w:rsid w:val="60B74380"/>
    <w:rsid w:val="622A6982"/>
    <w:rsid w:val="65826E7A"/>
    <w:rsid w:val="67BCFAA6"/>
    <w:rsid w:val="6A1537BF"/>
    <w:rsid w:val="6C4ED43C"/>
    <w:rsid w:val="6EE71D9B"/>
    <w:rsid w:val="6F4E3DAF"/>
    <w:rsid w:val="6F736CFD"/>
    <w:rsid w:val="6FFDC98C"/>
    <w:rsid w:val="71FAFCDE"/>
    <w:rsid w:val="73DD4A3C"/>
    <w:rsid w:val="753A76EE"/>
    <w:rsid w:val="75EE23E0"/>
    <w:rsid w:val="77036CD2"/>
    <w:rsid w:val="798168D1"/>
    <w:rsid w:val="79EE9839"/>
    <w:rsid w:val="7A0A7037"/>
    <w:rsid w:val="7B7B314A"/>
    <w:rsid w:val="7B8F2E18"/>
    <w:rsid w:val="7BA58F1C"/>
    <w:rsid w:val="7BCE0B78"/>
    <w:rsid w:val="7BDBB92C"/>
    <w:rsid w:val="7BE4F9C9"/>
    <w:rsid w:val="7C1C785E"/>
    <w:rsid w:val="7DC9984A"/>
    <w:rsid w:val="7DDBC2E8"/>
    <w:rsid w:val="7DE9B082"/>
    <w:rsid w:val="7DF70087"/>
    <w:rsid w:val="7DFDB34D"/>
    <w:rsid w:val="7E4A0353"/>
    <w:rsid w:val="7EDF699A"/>
    <w:rsid w:val="7EFF3819"/>
    <w:rsid w:val="7F5E27B8"/>
    <w:rsid w:val="7FF7ECEE"/>
    <w:rsid w:val="7FFCC6DD"/>
    <w:rsid w:val="89E57C74"/>
    <w:rsid w:val="8DFEB488"/>
    <w:rsid w:val="8FDE68F6"/>
    <w:rsid w:val="97BE4D66"/>
    <w:rsid w:val="9AD6B3F8"/>
    <w:rsid w:val="9F7F51D3"/>
    <w:rsid w:val="9FBB0513"/>
    <w:rsid w:val="AFFF9E07"/>
    <w:rsid w:val="B37F0DA7"/>
    <w:rsid w:val="B7FA3BD9"/>
    <w:rsid w:val="B7FF6C06"/>
    <w:rsid w:val="BB1D3445"/>
    <w:rsid w:val="BB7F9E0B"/>
    <w:rsid w:val="BDB94155"/>
    <w:rsid w:val="BEEF7704"/>
    <w:rsid w:val="BEF3B445"/>
    <w:rsid w:val="BF6F6872"/>
    <w:rsid w:val="BFDBBCF9"/>
    <w:rsid w:val="BFF92B2A"/>
    <w:rsid w:val="CBBEF170"/>
    <w:rsid w:val="CDDFFB3E"/>
    <w:rsid w:val="CFDEF8C2"/>
    <w:rsid w:val="D6FDA1B9"/>
    <w:rsid w:val="D72D3F37"/>
    <w:rsid w:val="DDFF61DC"/>
    <w:rsid w:val="DF6B82EB"/>
    <w:rsid w:val="DF747F25"/>
    <w:rsid w:val="DFDD8941"/>
    <w:rsid w:val="E3E77085"/>
    <w:rsid w:val="E7FE032B"/>
    <w:rsid w:val="E9EF1ECC"/>
    <w:rsid w:val="EB360D70"/>
    <w:rsid w:val="EDFF78F9"/>
    <w:rsid w:val="EF4737C8"/>
    <w:rsid w:val="EF5F4B43"/>
    <w:rsid w:val="EFF66A33"/>
    <w:rsid w:val="F7BC6D6B"/>
    <w:rsid w:val="F7FE413E"/>
    <w:rsid w:val="FB3D8C3F"/>
    <w:rsid w:val="FC5FDD3C"/>
    <w:rsid w:val="FCCB4C43"/>
    <w:rsid w:val="FCEFAF99"/>
    <w:rsid w:val="FD36039A"/>
    <w:rsid w:val="FDE936A4"/>
    <w:rsid w:val="FEE739BB"/>
    <w:rsid w:val="FEFFF035"/>
    <w:rsid w:val="FF1B0203"/>
    <w:rsid w:val="FFBB45A8"/>
    <w:rsid w:val="FFDF2C72"/>
    <w:rsid w:val="FFE48752"/>
    <w:rsid w:val="FFF3B797"/>
    <w:rsid w:val="FFFBC491"/>
    <w:rsid w:val="FFFF6FF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qFormat="1" w:uiPriority="99"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qFormat="1" w:uiPriority="99"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6">
    <w:name w:val="heading 3"/>
    <w:basedOn w:val="1"/>
    <w:next w:val="1"/>
    <w:unhideWhenUsed/>
    <w:qFormat/>
    <w:uiPriority w:val="0"/>
    <w:pPr>
      <w:keepNext/>
      <w:keepLines/>
      <w:spacing w:line="560" w:lineRule="exact"/>
      <w:outlineLvl w:val="2"/>
    </w:pPr>
    <w:rPr>
      <w:rFonts w:ascii="Calibri" w:hAnsi="Calibri" w:eastAsia="宋体" w:cs="Times New Roman"/>
      <w:b/>
      <w:bCs/>
      <w:sz w:val="30"/>
      <w:szCs w:val="32"/>
    </w:rPr>
  </w:style>
  <w:style w:type="paragraph" w:styleId="7">
    <w:name w:val="heading 4"/>
    <w:basedOn w:val="1"/>
    <w:next w:val="1"/>
    <w:unhideWhenUsed/>
    <w:qFormat/>
    <w:uiPriority w:val="0"/>
    <w:pPr>
      <w:keepNext/>
      <w:keepLines/>
      <w:widowControl w:val="0"/>
      <w:spacing w:before="280" w:after="290" w:line="376" w:lineRule="auto"/>
      <w:jc w:val="both"/>
      <w:outlineLvl w:val="3"/>
    </w:pPr>
    <w:rPr>
      <w:rFonts w:ascii="Calibri Light" w:hAnsi="Calibri Light" w:eastAsia="宋体" w:cs="Times New Roman"/>
      <w:b/>
      <w:bCs/>
      <w:kern w:val="2"/>
      <w:sz w:val="28"/>
      <w:szCs w:val="28"/>
    </w:rPr>
  </w:style>
  <w:style w:type="character" w:default="1" w:styleId="17">
    <w:name w:val="Default Paragraph Font"/>
    <w:semiHidden/>
    <w:qFormat/>
    <w:uiPriority w:val="0"/>
  </w:style>
  <w:style w:type="table" w:default="1" w:styleId="15">
    <w:name w:val="Normal Table"/>
    <w:semiHidden/>
    <w:qFormat/>
    <w:uiPriority w:val="0"/>
    <w:tblPr>
      <w:tblCellMar>
        <w:top w:w="0" w:type="dxa"/>
        <w:left w:w="108" w:type="dxa"/>
        <w:bottom w:w="0" w:type="dxa"/>
        <w:right w:w="108" w:type="dxa"/>
      </w:tblCellMar>
    </w:tblPr>
  </w:style>
  <w:style w:type="paragraph" w:customStyle="1" w:styleId="2">
    <w:name w:val="Default"/>
    <w:next w:val="3"/>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3">
    <w:name w:val="样式1"/>
    <w:basedOn w:val="4"/>
    <w:next w:val="1"/>
    <w:qFormat/>
    <w:uiPriority w:val="0"/>
    <w:pPr>
      <w:snapToGrid w:val="0"/>
      <w:jc w:val="center"/>
    </w:pPr>
    <w:rPr>
      <w:rFonts w:ascii="宋体"/>
      <w:szCs w:val="20"/>
    </w:rPr>
  </w:style>
  <w:style w:type="paragraph" w:styleId="4">
    <w:name w:val="index heading"/>
    <w:basedOn w:val="1"/>
    <w:next w:val="5"/>
    <w:unhideWhenUsed/>
    <w:qFormat/>
    <w:uiPriority w:val="99"/>
    <w:rPr>
      <w:rFonts w:ascii="Arial" w:hAnsi="Arial" w:cs="Arial"/>
      <w:b/>
      <w:bCs/>
    </w:rPr>
  </w:style>
  <w:style w:type="paragraph" w:styleId="5">
    <w:name w:val="index 1"/>
    <w:basedOn w:val="1"/>
    <w:next w:val="1"/>
    <w:unhideWhenUsed/>
    <w:qFormat/>
    <w:uiPriority w:val="99"/>
    <w:pPr>
      <w:spacing w:line="192" w:lineRule="auto"/>
      <w:jc w:val="center"/>
    </w:pPr>
    <w:rPr>
      <w:rFonts w:ascii="宋体" w:hAnsi="宋体"/>
      <w:szCs w:val="20"/>
    </w:rPr>
  </w:style>
  <w:style w:type="paragraph" w:styleId="8">
    <w:name w:val="Normal Indent"/>
    <w:basedOn w:val="1"/>
    <w:next w:val="1"/>
    <w:qFormat/>
    <w:uiPriority w:val="0"/>
    <w:pPr>
      <w:ind w:firstLine="420"/>
    </w:pPr>
    <w:rPr>
      <w:rFonts w:ascii="Times New Roman" w:hAnsi="Times New Roman" w:eastAsia="宋体" w:cs="Times New Roman"/>
      <w:kern w:val="0"/>
    </w:rPr>
  </w:style>
  <w:style w:type="paragraph" w:styleId="9">
    <w:name w:val="caption"/>
    <w:basedOn w:val="1"/>
    <w:next w:val="1"/>
    <w:qFormat/>
    <w:uiPriority w:val="0"/>
    <w:pPr>
      <w:ind w:firstLine="0" w:firstLineChars="0"/>
      <w:jc w:val="center"/>
    </w:pPr>
    <w:rPr>
      <w:rFonts w:ascii="宋体" w:hAnsi="宋体" w:eastAsia="宋体"/>
      <w:b/>
      <w:color w:val="auto"/>
      <w:sz w:val="24"/>
      <w:szCs w:val="20"/>
    </w:rPr>
  </w:style>
  <w:style w:type="paragraph" w:styleId="10">
    <w:name w:val="Salutation"/>
    <w:basedOn w:val="1"/>
    <w:next w:val="1"/>
    <w:qFormat/>
    <w:uiPriority w:val="0"/>
  </w:style>
  <w:style w:type="paragraph" w:styleId="11">
    <w:name w:val="Body Text"/>
    <w:basedOn w:val="1"/>
    <w:qFormat/>
    <w:uiPriority w:val="1"/>
    <w:pPr>
      <w:autoSpaceDE w:val="0"/>
      <w:autoSpaceDN w:val="0"/>
      <w:jc w:val="left"/>
    </w:pPr>
    <w:rPr>
      <w:rFonts w:ascii="仿宋" w:hAnsi="仿宋" w:eastAsia="仿宋" w:cs="仿宋"/>
      <w:kern w:val="0"/>
      <w:sz w:val="32"/>
      <w:szCs w:val="32"/>
      <w:lang w:val="zh-CN" w:bidi="zh-CN"/>
    </w:rPr>
  </w:style>
  <w:style w:type="paragraph" w:styleId="12">
    <w:name w:val="footer"/>
    <w:basedOn w:val="1"/>
    <w:qFormat/>
    <w:uiPriority w:val="0"/>
    <w:pPr>
      <w:tabs>
        <w:tab w:val="center" w:pos="4153"/>
        <w:tab w:val="right" w:pos="8306"/>
      </w:tabs>
      <w:snapToGrid w:val="0"/>
      <w:jc w:val="left"/>
    </w:pPr>
    <w:rPr>
      <w:sz w:val="18"/>
    </w:rPr>
  </w:style>
  <w:style w:type="paragraph" w:styleId="1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4">
    <w:name w:val="Normal (Web)"/>
    <w:basedOn w:val="1"/>
    <w:qFormat/>
    <w:uiPriority w:val="0"/>
    <w:pPr>
      <w:widowControl/>
      <w:spacing w:before="100" w:beforeLines="0" w:beforeAutospacing="1" w:after="100" w:afterLines="0" w:afterAutospacing="1"/>
      <w:jc w:val="left"/>
    </w:pPr>
    <w:rPr>
      <w:rFonts w:ascii="宋体" w:hAnsi="宋体" w:cs="宋体"/>
      <w:kern w:val="0"/>
      <w:sz w:val="24"/>
    </w:rPr>
  </w:style>
  <w:style w:type="table" w:styleId="16">
    <w:name w:val="Table Grid"/>
    <w:basedOn w:val="15"/>
    <w:qFormat/>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paragraph" w:customStyle="1" w:styleId="18">
    <w:name w:val="p15"/>
    <w:basedOn w:val="1"/>
    <w:qFormat/>
    <w:uiPriority w:val="0"/>
    <w:pPr>
      <w:widowControl/>
    </w:pPr>
    <w:rPr>
      <w:rFonts w:ascii="Times New Roman" w:hAnsi="Times New Roman" w:eastAsia="宋体" w:cs="Times New Roman"/>
      <w:kern w:val="0"/>
      <w:szCs w:val="21"/>
    </w:rPr>
  </w:style>
  <w:style w:type="paragraph" w:customStyle="1" w:styleId="19">
    <w:name w:val="BodyText"/>
    <w:basedOn w:val="1"/>
    <w:qFormat/>
    <w:uiPriority w:val="0"/>
    <w:pPr>
      <w:spacing w:after="120"/>
    </w:pPr>
  </w:style>
  <w:style w:type="paragraph" w:customStyle="1" w:styleId="20">
    <w:name w:val="TOC7"/>
    <w:basedOn w:val="1"/>
    <w:next w:val="1"/>
    <w:qFormat/>
    <w:uiPriority w:val="0"/>
    <w:pPr>
      <w:ind w:left="2520"/>
      <w:jc w:val="both"/>
      <w:textAlignment w:val="baseline"/>
    </w:pPr>
    <w:rPr>
      <w:rFonts w:ascii="Times New Roman" w:hAnsi="Times New Roman" w:eastAsia="宋体" w:cs="宋体"/>
      <w:kern w:val="1"/>
      <w:sz w:val="21"/>
      <w:szCs w:val="24"/>
      <w:lang w:val="en-US" w:eastAsia="zh-CN" w:bidi="ar-SA"/>
    </w:rPr>
  </w:style>
  <w:style w:type="character" w:customStyle="1" w:styleId="21">
    <w:name w:val="NormalCharacter"/>
    <w:semiHidden/>
    <w:qFormat/>
    <w:uiPriority w:val="0"/>
    <w:rPr>
      <w:kern w:val="2"/>
      <w:sz w:val="21"/>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Office_11.8.2.11681_F1E327BC-269C-435d-A152-05C5408002CA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2021-10-14T23:35:00Z</dcterms:created>
  <dc:creator>Administrator</dc:creator>
  <cp:lastModifiedBy>greatwall</cp:lastModifiedBy>
  <cp:lastPrinted>2024-01-20T08:16:00Z</cp:lastPrinted>
  <dcterms:modified xsi:type="dcterms:W3CDTF">2024-01-24T16:32:10Z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2052-11.8.2.11681</vt:lpwstr>
  </property>
  <property fmtid="{D5CDD505-2E9C-101B-9397-08002B2CF9AE}" pid="3" name="ICV">
    <vt:lpwstr>772E5C2D8C0C79C3D7C2C063F75442BA</vt:lpwstr>
  </property>
</Properties>
</file>