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jc w:val="both"/>
        <w:textAlignment w:val="auto"/>
        <w:outlineLvl w:val="0"/>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eastAsia="方正小标宋简体"/>
          <w:color w:val="auto"/>
          <w:sz w:val="44"/>
          <w:szCs w:val="44"/>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rPr>
          <w:rFonts w:hint="default"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万府〔202</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万宁市人民政府关于</w:t>
      </w:r>
    </w:p>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万让2023-32号地块用地征收土地</w:t>
      </w:r>
    </w:p>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补偿安置方案</w:t>
      </w:r>
      <w:r>
        <w:rPr>
          <w:rFonts w:hint="default"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sz w:val="44"/>
          <w:szCs w:val="44"/>
          <w:lang w:val="en-US" w:eastAsia="zh-CN"/>
        </w:rPr>
        <w:t>公告</w:t>
      </w: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8"/>
          <w:szCs w:val="48"/>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为做好万宁市万让2023-</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地块用地征地补偿安置工作，根据《中华人民共和国土地管理法》《中华人民共和国土地管理法实施条例》等法律法规规定，我市依据社会风险稳定评估结果，结合土地现状调查情况，组织相关职能部门拟定了征地补偿安置方案，现将有关事项公告如下：</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一、征收范围</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万宁市万让2023-</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号地块用地位于</w:t>
      </w:r>
      <w:r>
        <w:rPr>
          <w:rFonts w:hint="eastAsia" w:ascii="仿宋_GB2312" w:hAnsi="仿宋_GB2312" w:eastAsia="仿宋_GB2312" w:cs="仿宋_GB2312"/>
          <w:color w:val="auto"/>
          <w:sz w:val="32"/>
          <w:szCs w:val="32"/>
          <w:lang w:val="en-US" w:eastAsia="zh-CN"/>
        </w:rPr>
        <w:t>龙滚镇水坡村委会地段</w:t>
      </w:r>
      <w:r>
        <w:rPr>
          <w:rFonts w:hint="eastAsia" w:ascii="仿宋_GB2312" w:hAnsi="仿宋_GB2312" w:eastAsia="仿宋_GB2312" w:cs="仿宋_GB2312"/>
          <w:sz w:val="32"/>
          <w:szCs w:val="32"/>
        </w:rPr>
        <w:t>，用地总面积</w:t>
      </w:r>
      <w:r>
        <w:rPr>
          <w:rFonts w:hint="eastAsia" w:ascii="仿宋_GB2312" w:hAnsi="仿宋_GB2312" w:eastAsia="仿宋_GB2312" w:cs="仿宋_GB2312"/>
          <w:color w:val="auto"/>
          <w:sz w:val="32"/>
          <w:szCs w:val="32"/>
          <w:lang w:val="en-US" w:eastAsia="zh-CN"/>
        </w:rPr>
        <w:t>12.03</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，拟征收集体土地</w:t>
      </w:r>
      <w:r>
        <w:rPr>
          <w:rFonts w:hint="eastAsia" w:ascii="仿宋_GB2312" w:hAnsi="仿宋_GB2312" w:eastAsia="仿宋_GB2312" w:cs="仿宋_GB2312"/>
          <w:color w:val="auto"/>
          <w:sz w:val="32"/>
          <w:szCs w:val="32"/>
          <w:lang w:val="en-US" w:eastAsia="zh-CN"/>
        </w:rPr>
        <w:t>12.03</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，涉及</w:t>
      </w:r>
      <w:r>
        <w:rPr>
          <w:rFonts w:hint="eastAsia" w:ascii="仿宋_GB2312" w:hAnsi="仿宋_GB2312" w:eastAsia="仿宋_GB2312" w:cs="仿宋_GB2312"/>
          <w:color w:val="auto"/>
          <w:sz w:val="32"/>
          <w:szCs w:val="32"/>
          <w:lang w:val="en-US" w:eastAsia="zh-CN"/>
        </w:rPr>
        <w:t>龙滚镇水坡村委会</w:t>
      </w:r>
      <w:r>
        <w:rPr>
          <w:rFonts w:hint="eastAsia" w:ascii="仿宋_GB2312" w:hAnsi="仿宋_GB2312" w:eastAsia="仿宋_GB2312" w:cs="仿宋_GB2312"/>
          <w:color w:val="auto"/>
          <w:sz w:val="32"/>
          <w:szCs w:val="32"/>
        </w:rPr>
        <w:t>相关</w:t>
      </w:r>
      <w:r>
        <w:rPr>
          <w:rFonts w:hint="default" w:ascii="仿宋_GB2312" w:hAnsi="仿宋_GB2312" w:eastAsia="仿宋_GB2312" w:cs="仿宋_GB2312"/>
          <w:color w:val="auto"/>
          <w:sz w:val="32"/>
          <w:szCs w:val="32"/>
        </w:rPr>
        <w:t>村民</w:t>
      </w:r>
      <w:r>
        <w:rPr>
          <w:rFonts w:hint="eastAsia" w:ascii="仿宋_GB2312" w:hAnsi="仿宋_GB2312" w:eastAsia="仿宋_GB2312" w:cs="仿宋_GB2312"/>
          <w:color w:val="auto"/>
          <w:sz w:val="32"/>
          <w:szCs w:val="32"/>
        </w:rPr>
        <w:t>小组</w:t>
      </w:r>
      <w:r>
        <w:rPr>
          <w:rFonts w:hint="eastAsia" w:ascii="仿宋_GB2312" w:hAnsi="仿宋_GB2312" w:eastAsia="仿宋_GB2312" w:cs="仿宋_GB2312"/>
          <w:sz w:val="32"/>
          <w:szCs w:val="32"/>
        </w:rPr>
        <w:t>集体所有土地。征收土地具体四至界址范围以征地红线图为准。</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二、土地现状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cs="黑体"/>
          <w:sz w:val="32"/>
          <w:szCs w:val="32"/>
        </w:rPr>
        <w:t>根据拟征收土地现状调查结果，本次拟征收土地现状如下：拟</w:t>
      </w:r>
      <w:r>
        <w:rPr>
          <w:rFonts w:hint="eastAsia" w:ascii="仿宋_GB2312" w:hAnsi="黑体" w:eastAsia="仿宋_GB2312" w:cs="黑体"/>
          <w:color w:val="auto"/>
          <w:sz w:val="32"/>
          <w:szCs w:val="32"/>
        </w:rPr>
        <w:t>征收</w:t>
      </w:r>
      <w:r>
        <w:rPr>
          <w:rFonts w:hint="eastAsia" w:ascii="仿宋_GB2312" w:hAnsi="仿宋_GB2312" w:eastAsia="仿宋_GB2312" w:cs="仿宋_GB2312"/>
          <w:color w:val="auto"/>
          <w:sz w:val="32"/>
          <w:szCs w:val="32"/>
          <w:lang w:val="en-US" w:eastAsia="zh-CN"/>
        </w:rPr>
        <w:t>龙滚镇水坡村委会</w:t>
      </w:r>
      <w:r>
        <w:rPr>
          <w:rFonts w:hint="eastAsia" w:ascii="仿宋_GB2312" w:hAnsi="黑体" w:eastAsia="仿宋_GB2312" w:cs="黑体"/>
          <w:color w:val="auto"/>
          <w:sz w:val="32"/>
          <w:szCs w:val="32"/>
          <w:lang w:val="en-US" w:eastAsia="zh-CN"/>
        </w:rPr>
        <w:t>相关</w:t>
      </w:r>
      <w:r>
        <w:rPr>
          <w:rFonts w:hint="default" w:ascii="仿宋_GB2312" w:hAnsi="黑体" w:eastAsia="仿宋_GB2312" w:cs="黑体"/>
          <w:color w:val="auto"/>
          <w:sz w:val="32"/>
          <w:szCs w:val="32"/>
          <w:lang w:eastAsia="zh-CN"/>
        </w:rPr>
        <w:t>村民</w:t>
      </w:r>
      <w:r>
        <w:rPr>
          <w:rFonts w:hint="eastAsia" w:ascii="仿宋_GB2312" w:hAnsi="黑体" w:eastAsia="仿宋_GB2312" w:cs="黑体"/>
          <w:color w:val="auto"/>
          <w:sz w:val="32"/>
          <w:szCs w:val="32"/>
          <w:lang w:val="en-US" w:eastAsia="zh-CN"/>
        </w:rPr>
        <w:t>小组</w:t>
      </w:r>
      <w:r>
        <w:rPr>
          <w:rFonts w:hint="eastAsia" w:ascii="仿宋_GB2312" w:hAnsi="仿宋_GB2312" w:eastAsia="仿宋_GB2312" w:cs="仿宋_GB2312"/>
          <w:color w:val="auto"/>
          <w:sz w:val="32"/>
          <w:szCs w:val="32"/>
        </w:rPr>
        <w:t>集</w:t>
      </w:r>
      <w:r>
        <w:rPr>
          <w:rFonts w:hint="eastAsia" w:ascii="仿宋_GB2312" w:hAnsi="仿宋_GB2312" w:eastAsia="仿宋_GB2312" w:cs="仿宋_GB2312"/>
          <w:sz w:val="32"/>
          <w:szCs w:val="32"/>
        </w:rPr>
        <w:t>体所有土地</w:t>
      </w:r>
      <w:r>
        <w:rPr>
          <w:rFonts w:hint="eastAsia" w:ascii="仿宋_GB2312" w:hAnsi="仿宋_GB2312" w:eastAsia="仿宋_GB2312" w:cs="仿宋_GB2312"/>
          <w:color w:val="auto"/>
          <w:sz w:val="32"/>
          <w:szCs w:val="32"/>
          <w:lang w:val="en-US" w:eastAsia="zh-CN"/>
        </w:rPr>
        <w:t>12.03</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，其中农用地</w:t>
      </w:r>
      <w:r>
        <w:rPr>
          <w:rFonts w:hint="eastAsia" w:ascii="仿宋_GB2312" w:hAnsi="仿宋_GB2312" w:eastAsia="仿宋_GB2312" w:cs="仿宋_GB2312"/>
          <w:sz w:val="32"/>
          <w:szCs w:val="32"/>
          <w:lang w:val="en-US" w:eastAsia="zh-CN"/>
        </w:rPr>
        <w:t>12.03亩</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三、征收目的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为了公共利益的需要拟征收作为万宁市万让2023-</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号地块用地,拟安排土地用途：</w:t>
      </w:r>
      <w:r>
        <w:rPr>
          <w:rFonts w:hint="eastAsia" w:ascii="仿宋_GB2312" w:hAnsi="仿宋_GB2312" w:eastAsia="仿宋_GB2312" w:cs="仿宋_GB2312"/>
          <w:color w:val="auto"/>
          <w:sz w:val="32"/>
          <w:szCs w:val="32"/>
          <w:lang w:val="en-US" w:eastAsia="zh-CN"/>
        </w:rPr>
        <w:t>特殊用地</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四、征收土地补偿标准</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拟征收土地补偿费和安置补助费按照《海南省人民政府关于公布全省征地区片综合地价的通知》（琼府〔2020〕45号）规定执行，片区综合地价标准：</w:t>
      </w:r>
      <w:r>
        <w:rPr>
          <w:rFonts w:hint="eastAsia" w:ascii="仿宋_GB2312" w:hAnsi="仿宋_GB2312" w:eastAsia="仿宋_GB2312" w:cs="仿宋_GB2312"/>
          <w:sz w:val="32"/>
          <w:szCs w:val="32"/>
          <w:lang w:val="en-US" w:eastAsia="zh-CN"/>
        </w:rPr>
        <w:t>龙滚</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97240</w:t>
      </w:r>
      <w:r>
        <w:rPr>
          <w:rFonts w:hint="eastAsia" w:ascii="仿宋_GB2312" w:hAnsi="仿宋_GB2312" w:eastAsia="仿宋_GB2312" w:cs="仿宋_GB2312"/>
          <w:sz w:val="32"/>
          <w:szCs w:val="32"/>
        </w:rPr>
        <w:t>元/亩，其中，土地补偿费标准：</w:t>
      </w:r>
      <w:r>
        <w:rPr>
          <w:rFonts w:hint="eastAsia" w:ascii="仿宋_GB2312" w:hAnsi="仿宋_GB2312" w:eastAsia="仿宋_GB2312" w:cs="仿宋_GB2312"/>
          <w:sz w:val="32"/>
          <w:szCs w:val="32"/>
          <w:lang w:val="en-US" w:eastAsia="zh-CN"/>
        </w:rPr>
        <w:t>44200</w:t>
      </w:r>
      <w:r>
        <w:rPr>
          <w:rFonts w:hint="eastAsia" w:ascii="仿宋_GB2312" w:hAnsi="仿宋_GB2312" w:eastAsia="仿宋_GB2312" w:cs="仿宋_GB2312"/>
          <w:sz w:val="32"/>
          <w:szCs w:val="32"/>
        </w:rPr>
        <w:t>元/亩、安置补助费标准：</w:t>
      </w:r>
      <w:r>
        <w:rPr>
          <w:rFonts w:hint="eastAsia" w:ascii="仿宋_GB2312" w:hAnsi="仿宋_GB2312" w:eastAsia="仿宋_GB2312" w:cs="仿宋_GB2312"/>
          <w:sz w:val="32"/>
          <w:szCs w:val="32"/>
          <w:lang w:val="en-US" w:eastAsia="zh-CN"/>
        </w:rPr>
        <w:t>53040</w:t>
      </w:r>
      <w:r>
        <w:rPr>
          <w:rFonts w:hint="eastAsia" w:ascii="仿宋_GB2312" w:hAnsi="仿宋_GB2312" w:eastAsia="仿宋_GB2312" w:cs="仿宋_GB2312"/>
          <w:sz w:val="32"/>
          <w:szCs w:val="32"/>
        </w:rPr>
        <w:t>元/亩。</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青苗及地上附着物补偿按照《海南省征地青苗及地上附作物补偿标准》（琼府〔2014〕36号）</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《万宁市人民政府关于印发万宁市征地统一年产值标准和万宁市征地青苗及地上附着物补偿标准的通知》(万府〔2015〕11号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规定执行</w:t>
      </w:r>
      <w:r>
        <w:rPr>
          <w:rFonts w:hint="default"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五、安置对象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龙滚镇水坡村委会相关小组等32</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123</w:t>
      </w:r>
      <w:r>
        <w:rPr>
          <w:rFonts w:hint="eastAsia" w:ascii="仿宋_GB2312" w:hAnsi="仿宋_GB2312" w:eastAsia="仿宋_GB2312" w:cs="仿宋_GB2312"/>
          <w:color w:val="auto"/>
          <w:sz w:val="32"/>
          <w:szCs w:val="32"/>
        </w:rPr>
        <w:t>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六、安置方式</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方正楷体_GBK" w:eastAsia="楷体_GB2312" w:cs="方正楷体_GBK"/>
          <w:sz w:val="32"/>
          <w:szCs w:val="32"/>
        </w:rPr>
        <w:t>（一）货币补偿</w:t>
      </w:r>
      <w:r>
        <w:rPr>
          <w:rFonts w:hint="default" w:ascii="楷体_GB2312" w:hAnsi="方正楷体_GBK" w:eastAsia="楷体_GB2312" w:cs="方正楷体_GBK"/>
          <w:sz w:val="32"/>
          <w:szCs w:val="32"/>
        </w:rPr>
        <w:t>。</w:t>
      </w:r>
      <w:r>
        <w:rPr>
          <w:rFonts w:hint="eastAsia" w:ascii="仿宋_GB2312" w:hAnsi="仿宋_GB2312" w:eastAsia="仿宋_GB2312" w:cs="仿宋_GB2312"/>
          <w:sz w:val="32"/>
          <w:szCs w:val="32"/>
        </w:rPr>
        <w:t>土地补偿费和安置补助费支付给被征地农村集体经济组织。青苗及地上附着物补偿费支付给其所有权人。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方正楷体_GBK" w:eastAsia="楷体_GB2312" w:cs="方正楷体_GBK"/>
          <w:sz w:val="32"/>
          <w:szCs w:val="32"/>
        </w:rPr>
        <w:t>（二）社保安置。</w:t>
      </w:r>
      <w:r>
        <w:rPr>
          <w:rFonts w:hint="eastAsia" w:ascii="仿宋_GB2312" w:hAnsi="仿宋_GB2312" w:eastAsia="仿宋_GB2312" w:cs="仿宋_GB2312"/>
          <w:sz w:val="32"/>
          <w:szCs w:val="32"/>
        </w:rPr>
        <w:t>被征地农民养老保险缴费补贴按照《海南省人民政府关于印发&lt;海南省被征地农民参加社会养老保险办法&gt;的通知》（琼府〔2013〕21号）规定执行。</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方正楷体_GBK" w:eastAsia="楷体_GB2312" w:cs="方正楷体_GBK"/>
          <w:sz w:val="32"/>
          <w:szCs w:val="32"/>
        </w:rPr>
        <w:t>（</w:t>
      </w:r>
      <w:r>
        <w:rPr>
          <w:rFonts w:hint="eastAsia" w:ascii="楷体_GB2312" w:hAnsi="方正楷体_GBK" w:eastAsia="楷体_GB2312" w:cs="方正楷体_GBK"/>
          <w:sz w:val="32"/>
          <w:szCs w:val="32"/>
          <w:lang w:val="en-US" w:eastAsia="zh-CN"/>
        </w:rPr>
        <w:t>三</w:t>
      </w:r>
      <w:r>
        <w:rPr>
          <w:rFonts w:hint="eastAsia" w:ascii="楷体_GB2312" w:hAnsi="方正楷体_GBK" w:eastAsia="楷体_GB2312" w:cs="方正楷体_GBK"/>
          <w:sz w:val="32"/>
          <w:szCs w:val="32"/>
        </w:rPr>
        <w:t>）</w:t>
      </w:r>
      <w:r>
        <w:rPr>
          <w:rFonts w:hint="eastAsia" w:ascii="仿宋_GB2312" w:hAnsi="仿宋_GB2312" w:eastAsia="仿宋_GB2312" w:cs="仿宋_GB2312"/>
          <w:sz w:val="32"/>
          <w:szCs w:val="32"/>
        </w:rPr>
        <w:t>涉及拆迁房屋的，给予宅基地安置，由镇政府、村委会在该村集体建设用地范围内给予被拆迁户重新安排宅基地，由被拆迁户报建获批后自行建房。</w:t>
      </w:r>
    </w:p>
    <w:p>
      <w:pPr>
        <w:pStyle w:val="14"/>
        <w:keepNext w:val="0"/>
        <w:keepLines w:val="0"/>
        <w:pageBreakBefore w:val="0"/>
        <w:kinsoku/>
        <w:wordWrap/>
        <w:overflowPunct/>
        <w:topLinePunct w:val="0"/>
        <w:bidi w:val="0"/>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七、办理补偿登记期限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请上述拟征收土地范围内的土地所有权人、使用权人及其他相关权利人自本公告发布之日起</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日内持相关权属证明材料到</w:t>
      </w:r>
      <w:r>
        <w:rPr>
          <w:rFonts w:hint="eastAsia" w:ascii="仿宋_GB2312" w:hAnsi="仿宋_GB2312" w:eastAsia="仿宋_GB2312" w:cs="仿宋_GB2312"/>
          <w:color w:val="auto"/>
          <w:sz w:val="32"/>
          <w:szCs w:val="32"/>
          <w:lang w:val="en-US" w:eastAsia="zh-CN"/>
        </w:rPr>
        <w:t>龙滚镇</w:t>
      </w:r>
      <w:r>
        <w:rPr>
          <w:rFonts w:hint="eastAsia" w:ascii="仿宋_GB2312" w:hAnsi="仿宋_GB2312" w:eastAsia="仿宋_GB2312" w:cs="仿宋_GB2312"/>
          <w:color w:val="auto"/>
          <w:sz w:val="32"/>
          <w:szCs w:val="32"/>
        </w:rPr>
        <w:t>政府办理补偿登记。</w:t>
      </w:r>
      <w:r>
        <w:rPr>
          <w:rFonts w:hint="eastAsia" w:ascii="仿宋_GB2312" w:hAnsi="仿宋_GB2312" w:eastAsia="仿宋_GB2312" w:cs="仿宋_GB2312"/>
          <w:sz w:val="32"/>
          <w:szCs w:val="32"/>
        </w:rPr>
        <w:t>土地所有权人、使用权人及其他相关权利人如未按期办理补偿登记的，其补偿内容以土地现状调查结果为准。</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八、其他事项</w:t>
      </w:r>
      <w:bookmarkStart w:id="0" w:name="_GoBack"/>
      <w:bookmarkEnd w:id="0"/>
    </w:p>
    <w:p>
      <w:pPr>
        <w:keepNext w:val="0"/>
        <w:keepLines w:val="0"/>
        <w:pageBreakBefore w:val="0"/>
        <w:shd w:val="clear" w:color="auto" w:fill="FFFFFF"/>
        <w:kinsoku/>
        <w:wordWrap/>
        <w:overflowPunct/>
        <w:topLinePunct w:val="0"/>
        <w:bidi w:val="0"/>
        <w:spacing w:line="560" w:lineRule="exact"/>
        <w:ind w:firstLine="640" w:firstLineChars="200"/>
        <w:textAlignment w:val="auto"/>
        <w:rPr>
          <w:rFonts w:hint="eastAsia" w:ascii="仿宋_GB2312" w:hAnsi="Calibri" w:eastAsia="仿宋_GB2312" w:cs="Times New Roman"/>
          <w:color w:val="auto"/>
          <w:sz w:val="32"/>
          <w:szCs w:val="32"/>
        </w:rPr>
      </w:pPr>
      <w:r>
        <w:rPr>
          <w:rFonts w:ascii="仿宋_GB2312" w:hAnsi="仿宋_GB2312" w:eastAsia="仿宋_GB2312" w:cs="仿宋_GB2312"/>
          <w:sz w:val="32"/>
          <w:szCs w:val="32"/>
        </w:rPr>
        <w:t>本公告在拟征收土地涉及的农村集体经济组织所在</w:t>
      </w:r>
      <w:r>
        <w:rPr>
          <w:rFonts w:hint="eastAsia" w:ascii="仿宋_GB2312" w:hAnsi="仿宋_GB2312" w:eastAsia="仿宋_GB2312" w:cs="仿宋_GB2312"/>
          <w:sz w:val="32"/>
          <w:szCs w:val="32"/>
        </w:rPr>
        <w:t>乡</w:t>
      </w:r>
      <w:r>
        <w:rPr>
          <w:rFonts w:ascii="仿宋_GB2312" w:hAnsi="仿宋_GB2312" w:eastAsia="仿宋_GB2312" w:cs="仿宋_GB2312"/>
          <w:sz w:val="32"/>
          <w:szCs w:val="32"/>
        </w:rPr>
        <w:t>镇和村</w:t>
      </w:r>
      <w:r>
        <w:rPr>
          <w:rFonts w:hint="eastAsia" w:ascii="仿宋_GB2312" w:hAnsi="仿宋_GB2312" w:eastAsia="仿宋_GB2312" w:cs="仿宋_GB2312"/>
          <w:sz w:val="32"/>
          <w:szCs w:val="32"/>
        </w:rPr>
        <w:t>委会</w:t>
      </w:r>
      <w:r>
        <w:rPr>
          <w:rFonts w:ascii="仿宋_GB2312" w:hAnsi="仿宋_GB2312" w:eastAsia="仿宋_GB2312" w:cs="仿宋_GB2312"/>
          <w:sz w:val="32"/>
          <w:szCs w:val="32"/>
        </w:rPr>
        <w:t>、村民小组范围内进行公告，听取被征地的农村集体经济组织及其成员、村民委员会和其它利害关系人的意见。</w:t>
      </w:r>
      <w:r>
        <w:rPr>
          <w:rFonts w:hint="eastAsia" w:ascii="仿宋_GB2312" w:hAnsi="仿宋_GB2312" w:eastAsia="仿宋_GB2312" w:cs="仿宋_GB2312"/>
          <w:color w:val="auto"/>
          <w:sz w:val="32"/>
          <w:szCs w:val="32"/>
        </w:rPr>
        <w:t>本公告公示期为30天，</w:t>
      </w:r>
      <w:r>
        <w:rPr>
          <w:rFonts w:hint="eastAsia" w:ascii="仿宋_GB2312" w:hAnsi="Calibri" w:eastAsia="仿宋_GB2312" w:cs="Times New Roman"/>
          <w:color w:val="auto"/>
          <w:sz w:val="32"/>
          <w:szCs w:val="32"/>
        </w:rPr>
        <w:t>自</w:t>
      </w:r>
      <w:r>
        <w:rPr>
          <w:rFonts w:hint="eastAsia" w:ascii="仿宋_GB2312" w:hAnsi="Calibri" w:eastAsia="仿宋_GB2312" w:cs="Times New Roman"/>
          <w:color w:val="auto"/>
          <w:sz w:val="32"/>
          <w:szCs w:val="32"/>
          <w:lang w:val="en-US" w:eastAsia="zh-CN"/>
        </w:rPr>
        <w:t>202</w:t>
      </w:r>
      <w:r>
        <w:rPr>
          <w:rFonts w:hint="default" w:ascii="仿宋_GB2312" w:hAnsi="Calibri" w:eastAsia="仿宋_GB2312" w:cs="Times New Roman"/>
          <w:color w:val="auto"/>
          <w:sz w:val="32"/>
          <w:szCs w:val="32"/>
          <w:lang w:eastAsia="zh-CN"/>
        </w:rPr>
        <w:t>4</w:t>
      </w:r>
      <w:r>
        <w:rPr>
          <w:rFonts w:hint="eastAsia" w:ascii="仿宋_GB2312" w:hAnsi="Calibri" w:eastAsia="仿宋_GB2312" w:cs="Times New Roman"/>
          <w:color w:val="auto"/>
          <w:sz w:val="32"/>
          <w:szCs w:val="32"/>
          <w:lang w:val="en-US" w:eastAsia="zh-CN"/>
        </w:rPr>
        <w:t>年</w:t>
      </w:r>
      <w:r>
        <w:rPr>
          <w:rFonts w:hint="default" w:ascii="仿宋_GB2312" w:hAnsi="Calibri" w:eastAsia="仿宋_GB2312" w:cs="Times New Roman"/>
          <w:color w:val="auto"/>
          <w:sz w:val="32"/>
          <w:szCs w:val="32"/>
          <w:lang w:eastAsia="zh-CN"/>
        </w:rPr>
        <w:t>1</w:t>
      </w:r>
      <w:r>
        <w:rPr>
          <w:rFonts w:hint="eastAsia" w:ascii="仿宋_GB2312" w:hAnsi="Calibri" w:eastAsia="仿宋_GB2312" w:cs="Times New Roman"/>
          <w:color w:val="auto"/>
          <w:sz w:val="32"/>
          <w:szCs w:val="32"/>
          <w:lang w:val="en-US" w:eastAsia="zh-CN"/>
        </w:rPr>
        <w:t>月</w:t>
      </w:r>
      <w:r>
        <w:rPr>
          <w:rFonts w:hint="default" w:ascii="仿宋_GB2312" w:hAnsi="Calibri" w:eastAsia="仿宋_GB2312" w:cs="Times New Roman"/>
          <w:color w:val="auto"/>
          <w:sz w:val="32"/>
          <w:szCs w:val="32"/>
          <w:lang w:eastAsia="zh-CN"/>
        </w:rPr>
        <w:t>31</w:t>
      </w:r>
      <w:r>
        <w:rPr>
          <w:rFonts w:hint="eastAsia" w:ascii="仿宋_GB2312" w:hAnsi="Calibri" w:eastAsia="仿宋_GB2312" w:cs="Times New Roman"/>
          <w:color w:val="auto"/>
          <w:sz w:val="32"/>
          <w:szCs w:val="32"/>
          <w:lang w:val="en-US" w:eastAsia="zh-CN"/>
        </w:rPr>
        <w:t>日至202</w:t>
      </w:r>
      <w:r>
        <w:rPr>
          <w:rFonts w:hint="default" w:ascii="仿宋_GB2312" w:hAnsi="Calibri" w:eastAsia="仿宋_GB2312" w:cs="Times New Roman"/>
          <w:color w:val="auto"/>
          <w:sz w:val="32"/>
          <w:szCs w:val="32"/>
          <w:lang w:eastAsia="zh-CN"/>
        </w:rPr>
        <w:t>4</w:t>
      </w:r>
      <w:r>
        <w:rPr>
          <w:rFonts w:hint="eastAsia" w:ascii="仿宋_GB2312" w:hAnsi="Calibri" w:eastAsia="仿宋_GB2312" w:cs="Times New Roman"/>
          <w:color w:val="auto"/>
          <w:sz w:val="32"/>
          <w:szCs w:val="32"/>
          <w:lang w:val="en-US" w:eastAsia="zh-CN"/>
        </w:rPr>
        <w:t>年</w:t>
      </w:r>
      <w:r>
        <w:rPr>
          <w:rFonts w:hint="default" w:ascii="仿宋_GB2312" w:hAnsi="Calibri" w:eastAsia="仿宋_GB2312" w:cs="Times New Roman"/>
          <w:color w:val="auto"/>
          <w:sz w:val="32"/>
          <w:szCs w:val="32"/>
          <w:lang w:eastAsia="zh-CN"/>
        </w:rPr>
        <w:t>2</w:t>
      </w:r>
      <w:r>
        <w:rPr>
          <w:rFonts w:hint="eastAsia" w:ascii="仿宋_GB2312" w:hAnsi="Calibri" w:eastAsia="仿宋_GB2312" w:cs="Times New Roman"/>
          <w:color w:val="auto"/>
          <w:sz w:val="32"/>
          <w:szCs w:val="32"/>
          <w:lang w:val="en-US" w:eastAsia="zh-CN"/>
        </w:rPr>
        <w:t>月</w:t>
      </w:r>
      <w:r>
        <w:rPr>
          <w:rFonts w:hint="default" w:ascii="仿宋_GB2312" w:hAnsi="Calibri" w:eastAsia="仿宋_GB2312" w:cs="Times New Roman"/>
          <w:color w:val="auto"/>
          <w:sz w:val="32"/>
          <w:szCs w:val="32"/>
          <w:lang w:eastAsia="zh-CN"/>
        </w:rPr>
        <w:t>29</w:t>
      </w:r>
      <w:r>
        <w:rPr>
          <w:rFonts w:hint="eastAsia" w:ascii="仿宋_GB2312" w:hAnsi="Calibri" w:eastAsia="仿宋_GB2312" w:cs="Times New Roman"/>
          <w:color w:val="auto"/>
          <w:sz w:val="32"/>
          <w:szCs w:val="32"/>
          <w:lang w:val="en-US" w:eastAsia="zh-CN"/>
        </w:rPr>
        <w:t>日</w:t>
      </w:r>
      <w:r>
        <w:rPr>
          <w:rFonts w:hint="eastAsia" w:ascii="仿宋_GB2312" w:hAnsi="Calibri" w:eastAsia="仿宋_GB2312" w:cs="Times New Roman"/>
          <w:color w:val="auto"/>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如对上述有关事项有异议的，被征收土地村委会、村民小组等应在本公告发布之日起</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天内，以村委会或村民小组为单位，以书面形式将意见送到</w:t>
      </w:r>
      <w:r>
        <w:rPr>
          <w:rFonts w:hint="eastAsia" w:ascii="仿宋_GB2312" w:hAnsi="仿宋_GB2312" w:eastAsia="仿宋_GB2312" w:cs="仿宋_GB2312"/>
          <w:color w:val="auto"/>
          <w:sz w:val="32"/>
          <w:szCs w:val="32"/>
          <w:lang w:val="en-US" w:eastAsia="zh-CN"/>
        </w:rPr>
        <w:t>龙滚</w:t>
      </w:r>
      <w:r>
        <w:rPr>
          <w:rFonts w:hint="eastAsia" w:ascii="仿宋_GB2312" w:hAnsi="仿宋_GB2312" w:eastAsia="仿宋_GB2312" w:cs="仿宋_GB2312"/>
          <w:color w:val="auto"/>
          <w:sz w:val="32"/>
          <w:szCs w:val="32"/>
        </w:rPr>
        <w:t>镇政府。如无异议，被征地村委会、村民小组应出具确认意见。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根据《国土资源听证规定》，被征地农村集体经济组织和农户对拟征收土地的补偿标准和安置方案有申请听证的权利，当事人需要听证的，应在公告结束前向</w:t>
      </w:r>
      <w:r>
        <w:rPr>
          <w:rFonts w:hint="eastAsia" w:ascii="仿宋_GB2312" w:hAnsi="仿宋_GB2312" w:eastAsia="仿宋_GB2312" w:cs="仿宋_GB2312"/>
          <w:color w:val="auto"/>
          <w:sz w:val="32"/>
          <w:szCs w:val="32"/>
          <w:lang w:val="en-US" w:eastAsia="zh-CN"/>
        </w:rPr>
        <w:t>龙滚镇人民政府</w:t>
      </w:r>
      <w:r>
        <w:rPr>
          <w:rFonts w:hint="eastAsia" w:ascii="仿宋_GB2312" w:eastAsia="仿宋_GB2312"/>
          <w:color w:val="auto"/>
          <w:sz w:val="32"/>
          <w:szCs w:val="32"/>
        </w:rPr>
        <w:t>提出书面申请。逾期未提出的，视为放弃听证。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特此公告</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color w:val="auto"/>
          <w:sz w:val="32"/>
          <w:szCs w:val="32"/>
          <w:lang w:val="en-US" w:eastAsia="zh-CN"/>
        </w:rPr>
      </w:pPr>
    </w:p>
    <w:p>
      <w:pPr>
        <w:pStyle w:val="2"/>
        <w:keepNext w:val="0"/>
        <w:keepLines w:val="0"/>
        <w:pageBreakBefore w:val="0"/>
        <w:widowControl w:val="0"/>
        <w:kinsoku/>
        <w:wordWrap/>
        <w:overflowPunct/>
        <w:topLinePunct w:val="0"/>
        <w:bidi w:val="0"/>
        <w:snapToGrid/>
        <w:spacing w:line="560" w:lineRule="exact"/>
        <w:textAlignment w:val="auto"/>
        <w:rPr>
          <w:rFonts w:hint="eastAsia"/>
          <w:color w:val="auto"/>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color w:val="auto"/>
          <w:lang w:val="en-US" w:eastAsia="zh-CN"/>
        </w:rPr>
      </w:pP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firstLine="5280" w:firstLineChars="1650"/>
        <w:jc w:val="both"/>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en-US" w:eastAsia="zh-CN"/>
        </w:rPr>
        <w:t>万宁</w:t>
      </w:r>
      <w:r>
        <w:rPr>
          <w:rFonts w:hint="eastAsia" w:ascii="仿宋_GB2312" w:eastAsia="仿宋_GB2312"/>
          <w:color w:val="auto"/>
          <w:sz w:val="32"/>
          <w:szCs w:val="32"/>
          <w:lang w:val="zh-CN"/>
        </w:rPr>
        <w:t>市人民政府</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en-US" w:eastAsia="zh-CN"/>
        </w:rPr>
        <w:t xml:space="preserve">                         2024</w:t>
      </w:r>
      <w:r>
        <w:rPr>
          <w:rFonts w:hint="eastAsia" w:ascii="仿宋_GB2312" w:eastAsia="仿宋_GB2312"/>
          <w:color w:val="auto"/>
          <w:sz w:val="32"/>
          <w:szCs w:val="32"/>
          <w:lang w:val="zh-CN"/>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val="zh-CN"/>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lang w:val="zh-CN"/>
        </w:rPr>
        <w:t>日</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color w:val="auto"/>
          <w:sz w:val="44"/>
          <w:szCs w:val="44"/>
          <w:lang w:val="en-US" w:eastAsia="zh-CN"/>
        </w:rPr>
      </w:pPr>
    </w:p>
    <w:p>
      <w:pPr>
        <w:pStyle w:val="2"/>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2"/>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lang w:val="en-US" w:eastAsia="zh-CN"/>
        </w:rPr>
      </w:pPr>
    </w:p>
    <w:p>
      <w:pPr>
        <w:pStyle w:val="2"/>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8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hint="default" w:ascii="仿宋_GB2312" w:hAnsi="仿宋_GB2312" w:eastAsia="仿宋_GB2312" w:cs="仿宋_GB2312"/>
          <w:b w:val="0"/>
          <w:bCs w:val="0"/>
          <w:color w:val="auto"/>
          <w:sz w:val="32"/>
          <w:szCs w:val="32"/>
          <w:lang w:eastAsia="zh-CN"/>
        </w:rPr>
      </w:pPr>
      <w:r>
        <w:rPr>
          <w:rFonts w:hint="eastAsia" w:ascii="宋体" w:hAnsi="宋体" w:cs="宋体"/>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29210</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35pt;margin-top:2.3pt;height:0.05pt;width:441pt;z-index:251659264;mso-width-relative:page;mso-height-relative:page;" filled="f" stroked="t" coordsize="21600,21600" o:gfxdata="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Llw4kzRAAAABAEA&#10;AA8AAAAAAAAAAQAgAAAAOAAAAGRycy9kb3ducmV2LnhtbFBLAQIUABQAAAAIAIdO4kDFAKK7/wEA&#10;AP4DAAAOAAAAAAAAAAEAIAAAADYBAABkcnMvZTJvRG9jLnhtbFBLAQIUAAoAAAAAAIdO4kAAAAAA&#10;AAAAAAAAAAAEAAAAAAAAAAAAEAAAABYAAABkcnMvUEsBAhQACgAAAAAAh07iQAAAAAAAAAAAAAAA&#10;AAYAAAAAAAAAAAAQAAAAYQMAAF9yZWxzL1BLBQYAAAAABgAGAFkBAACnBQAAAAA=&#10;">
                <v:fill on="f" focussize="0,0"/>
                <v:stroke color="#000000" joinstyle="round"/>
                <v:imagedata o:title=""/>
                <o:lock v:ext="edit" aspectratio="f"/>
              </v:line>
            </w:pict>
          </mc:Fallback>
        </mc:AlternateContent>
      </w:r>
      <w:r>
        <w:rPr>
          <w:rFonts w:hint="eastAsia" w:ascii="宋体" w:hAnsi="宋体" w:cs="宋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410210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2.3pt;height:0.05pt;width:441pt;z-index:251660288;mso-width-relative:page;mso-height-relative:page;" filled="f" stroked="t" coordsize="21600,21600" o:gfxdata="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UAAAACACHTuJAiIpd5NQAAAAH&#10;AQAADwAAAAAAAAABACAAAAA4AAAAZHJzL2Rvd25yZXYueG1sUEsBAhQAFAAAAAgAh07iQLKKvcn+&#10;AQAA/gMAAA4AAAAAAAAAAQAgAAAAOQEAAGRycy9lMm9Eb2MueG1sUEsBAhQACgAAAAAAh07iQAAA&#10;AAAAAAAAAAAAAAQAAAAAAAAAAAAQAAAAFgAAAGRycy9QSwECFAAKAAAAAACHTuJAAAAAAAAAAAAA&#10;AAAABgAAAAAAAAAAABAAAABjAwAAX3JlbHMvUEsFBgAAAAAGAAYAWQEAAKkFAAAAAA==&#10;">
                <v:fill on="f" focussize="0,0"/>
                <v:stroke color="#000000" joinstyle="round"/>
                <v:imagedata o:title=""/>
                <o:lock v:ext="edit" aspectratio="f"/>
              </v:line>
            </w:pict>
          </mc:Fallback>
        </mc:AlternateContent>
      </w:r>
      <w:r>
        <w:rPr>
          <w:rFonts w:hint="eastAsia" w:ascii="仿宋_GB2312" w:hAnsi="宋体" w:eastAsia="仿宋_GB2312" w:cs="宋体"/>
          <w:color w:val="auto"/>
          <w:sz w:val="28"/>
          <w:szCs w:val="28"/>
        </w:rPr>
        <w:t xml:space="preserve">万宁市人民政府办公室       </w:t>
      </w:r>
      <w:r>
        <w:rPr>
          <w:rFonts w:hint="eastAsia"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lang w:val="en-US" w:eastAsia="zh-CN"/>
        </w:rPr>
        <w:t xml:space="preserve">    </w:t>
      </w:r>
      <w:r>
        <w:rPr>
          <w:rFonts w:hint="default"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20</w:t>
      </w:r>
      <w:r>
        <w:rPr>
          <w:rFonts w:hint="eastAsia" w:ascii="仿宋_GB2312" w:hAnsi="宋体" w:eastAsia="仿宋_GB2312" w:cs="宋体"/>
          <w:color w:val="auto"/>
          <w:sz w:val="28"/>
          <w:szCs w:val="28"/>
          <w:lang w:val="en-US" w:eastAsia="zh-CN"/>
        </w:rPr>
        <w:t>24</w:t>
      </w:r>
      <w:r>
        <w:rPr>
          <w:rFonts w:hint="eastAsia" w:ascii="仿宋_GB2312" w:hAnsi="宋体" w:eastAsia="仿宋_GB2312" w:cs="宋体"/>
          <w:color w:val="auto"/>
          <w:sz w:val="28"/>
          <w:szCs w:val="28"/>
        </w:rPr>
        <w:t>年</w:t>
      </w:r>
      <w:r>
        <w:rPr>
          <w:rFonts w:hint="eastAsia" w:ascii="仿宋_GB2312" w:hAnsi="宋体" w:eastAsia="仿宋_GB2312" w:cs="宋体"/>
          <w:color w:val="auto"/>
          <w:sz w:val="28"/>
          <w:szCs w:val="28"/>
          <w:lang w:val="en-US" w:eastAsia="zh-CN"/>
        </w:rPr>
        <w:t>1</w:t>
      </w:r>
      <w:r>
        <w:rPr>
          <w:rFonts w:hint="eastAsia" w:ascii="仿宋_GB2312" w:hAnsi="宋体" w:eastAsia="仿宋_GB2312" w:cs="宋体"/>
          <w:color w:val="auto"/>
          <w:sz w:val="28"/>
          <w:szCs w:val="28"/>
        </w:rPr>
        <w:t>月</w:t>
      </w:r>
      <w:r>
        <w:rPr>
          <w:rFonts w:hint="eastAsia" w:ascii="仿宋_GB2312" w:hAnsi="宋体" w:eastAsia="仿宋_GB2312" w:cs="宋体"/>
          <w:color w:val="auto"/>
          <w:sz w:val="28"/>
          <w:szCs w:val="28"/>
          <w:lang w:val="en-US" w:eastAsia="zh-CN"/>
        </w:rPr>
        <w:t>31</w:t>
      </w:r>
      <w:r>
        <w:rPr>
          <w:rFonts w:hint="eastAsia" w:ascii="仿宋_GB2312" w:hAnsi="宋体" w:eastAsia="仿宋_GB2312" w:cs="宋体"/>
          <w:color w:val="auto"/>
          <w:sz w:val="28"/>
          <w:szCs w:val="28"/>
        </w:rPr>
        <w:t xml:space="preserve">日印发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C724E"/>
    <w:rsid w:val="00465CE8"/>
    <w:rsid w:val="00A529ED"/>
    <w:rsid w:val="03B33566"/>
    <w:rsid w:val="03BE6BCC"/>
    <w:rsid w:val="06551917"/>
    <w:rsid w:val="06F30C05"/>
    <w:rsid w:val="0D1F36F9"/>
    <w:rsid w:val="0D27050C"/>
    <w:rsid w:val="1461632C"/>
    <w:rsid w:val="18B675FA"/>
    <w:rsid w:val="19D06C42"/>
    <w:rsid w:val="1A6703E7"/>
    <w:rsid w:val="1AE22154"/>
    <w:rsid w:val="1CFEDF34"/>
    <w:rsid w:val="1DDEC043"/>
    <w:rsid w:val="1E1C0850"/>
    <w:rsid w:val="1FD92B5A"/>
    <w:rsid w:val="20760DCE"/>
    <w:rsid w:val="28ADC2A4"/>
    <w:rsid w:val="2C762F49"/>
    <w:rsid w:val="2DAD606A"/>
    <w:rsid w:val="30B56EC8"/>
    <w:rsid w:val="328C4344"/>
    <w:rsid w:val="38661CD1"/>
    <w:rsid w:val="392F3306"/>
    <w:rsid w:val="39666E46"/>
    <w:rsid w:val="3CD46B0B"/>
    <w:rsid w:val="3FE7C5F7"/>
    <w:rsid w:val="3FF50151"/>
    <w:rsid w:val="3FFF436B"/>
    <w:rsid w:val="424A1C67"/>
    <w:rsid w:val="437EACF8"/>
    <w:rsid w:val="44AC3D46"/>
    <w:rsid w:val="45C86DDD"/>
    <w:rsid w:val="48235E4A"/>
    <w:rsid w:val="4A4A0D5B"/>
    <w:rsid w:val="4B7E6AA8"/>
    <w:rsid w:val="4C5F1D44"/>
    <w:rsid w:val="4DC01666"/>
    <w:rsid w:val="4FFE5C10"/>
    <w:rsid w:val="51F30AA5"/>
    <w:rsid w:val="523D372B"/>
    <w:rsid w:val="526771A7"/>
    <w:rsid w:val="53AC724E"/>
    <w:rsid w:val="574341EA"/>
    <w:rsid w:val="59AD11B0"/>
    <w:rsid w:val="59DF5F83"/>
    <w:rsid w:val="5AEBFAA2"/>
    <w:rsid w:val="5AFE89D2"/>
    <w:rsid w:val="5B1D4125"/>
    <w:rsid w:val="5B73D9E4"/>
    <w:rsid w:val="5DAB6ECF"/>
    <w:rsid w:val="5EF67D79"/>
    <w:rsid w:val="5EFE57A9"/>
    <w:rsid w:val="5F5E69A0"/>
    <w:rsid w:val="5FA641C1"/>
    <w:rsid w:val="5FFD8814"/>
    <w:rsid w:val="60B74380"/>
    <w:rsid w:val="622A6982"/>
    <w:rsid w:val="65826E7A"/>
    <w:rsid w:val="67BCFAA6"/>
    <w:rsid w:val="6A1537BF"/>
    <w:rsid w:val="6C4ED43C"/>
    <w:rsid w:val="6EE71D9B"/>
    <w:rsid w:val="6F4E3DAF"/>
    <w:rsid w:val="6F736CFD"/>
    <w:rsid w:val="6FFDC98C"/>
    <w:rsid w:val="71FAFCDE"/>
    <w:rsid w:val="72F60C87"/>
    <w:rsid w:val="73DD4A3C"/>
    <w:rsid w:val="753A76EE"/>
    <w:rsid w:val="75EE23E0"/>
    <w:rsid w:val="77036CD2"/>
    <w:rsid w:val="798168D1"/>
    <w:rsid w:val="79EE9839"/>
    <w:rsid w:val="7A0A7037"/>
    <w:rsid w:val="7B7B314A"/>
    <w:rsid w:val="7B8F2E18"/>
    <w:rsid w:val="7BA58F1C"/>
    <w:rsid w:val="7BCE0B78"/>
    <w:rsid w:val="7BDBB92C"/>
    <w:rsid w:val="7BE4F9C9"/>
    <w:rsid w:val="7C1C785E"/>
    <w:rsid w:val="7DC9984A"/>
    <w:rsid w:val="7DDBC2E8"/>
    <w:rsid w:val="7DE9B082"/>
    <w:rsid w:val="7DF70087"/>
    <w:rsid w:val="7DFDB34D"/>
    <w:rsid w:val="7E4A0353"/>
    <w:rsid w:val="7EDF699A"/>
    <w:rsid w:val="7EFF3819"/>
    <w:rsid w:val="7F5E27B8"/>
    <w:rsid w:val="7FF7ECEE"/>
    <w:rsid w:val="7FFCC6DD"/>
    <w:rsid w:val="89E57C74"/>
    <w:rsid w:val="8DFEB488"/>
    <w:rsid w:val="8FDE68F6"/>
    <w:rsid w:val="97BE4D66"/>
    <w:rsid w:val="9AD6B3F8"/>
    <w:rsid w:val="9F7F51D3"/>
    <w:rsid w:val="9FBB0513"/>
    <w:rsid w:val="AAB70ACA"/>
    <w:rsid w:val="AFFF9E07"/>
    <w:rsid w:val="B37F0DA7"/>
    <w:rsid w:val="B7FA3BD9"/>
    <w:rsid w:val="B7FF6C06"/>
    <w:rsid w:val="BB1D3445"/>
    <w:rsid w:val="BB7F9E0B"/>
    <w:rsid w:val="BDB94155"/>
    <w:rsid w:val="BEEF7704"/>
    <w:rsid w:val="BEF3B445"/>
    <w:rsid w:val="BF6F6872"/>
    <w:rsid w:val="BFDBBCF9"/>
    <w:rsid w:val="BFF92B2A"/>
    <w:rsid w:val="CBBEF170"/>
    <w:rsid w:val="CDDFFB3E"/>
    <w:rsid w:val="CFBE3709"/>
    <w:rsid w:val="CFDEF8C2"/>
    <w:rsid w:val="D6FDA1B9"/>
    <w:rsid w:val="D72D3F37"/>
    <w:rsid w:val="DAFF675B"/>
    <w:rsid w:val="DB7D627C"/>
    <w:rsid w:val="DDFF61DC"/>
    <w:rsid w:val="DF6B82EB"/>
    <w:rsid w:val="DF747F25"/>
    <w:rsid w:val="DFDD8941"/>
    <w:rsid w:val="E3E77085"/>
    <w:rsid w:val="E7FE032B"/>
    <w:rsid w:val="E9EF1ECC"/>
    <w:rsid w:val="EB360D70"/>
    <w:rsid w:val="EDFF78F9"/>
    <w:rsid w:val="EF4737C8"/>
    <w:rsid w:val="EF5F4B43"/>
    <w:rsid w:val="EFF66A33"/>
    <w:rsid w:val="F7BC6D6B"/>
    <w:rsid w:val="F7FE413E"/>
    <w:rsid w:val="FB3D8C3F"/>
    <w:rsid w:val="FC5FDD3C"/>
    <w:rsid w:val="FCCB4C43"/>
    <w:rsid w:val="FCEFAF99"/>
    <w:rsid w:val="FD36039A"/>
    <w:rsid w:val="FDE936A4"/>
    <w:rsid w:val="FEE739BB"/>
    <w:rsid w:val="FEFFF035"/>
    <w:rsid w:val="FF1B0203"/>
    <w:rsid w:val="FFBB45A8"/>
    <w:rsid w:val="FFDF2C72"/>
    <w:rsid w:val="FFE48752"/>
    <w:rsid w:val="FFF3B797"/>
    <w:rsid w:val="FFFBC491"/>
    <w:rsid w:val="FFFF6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3"/>
    <w:basedOn w:val="1"/>
    <w:next w:val="1"/>
    <w:unhideWhenUsed/>
    <w:qFormat/>
    <w:uiPriority w:val="0"/>
    <w:pPr>
      <w:keepNext/>
      <w:keepLines/>
      <w:spacing w:line="560" w:lineRule="exact"/>
      <w:outlineLvl w:val="2"/>
    </w:pPr>
    <w:rPr>
      <w:rFonts w:ascii="Calibri" w:hAnsi="Calibri" w:eastAsia="宋体" w:cs="Times New Roman"/>
      <w:b/>
      <w:bCs/>
      <w:sz w:val="30"/>
      <w:szCs w:val="32"/>
    </w:rPr>
  </w:style>
  <w:style w:type="paragraph" w:styleId="7">
    <w:name w:val="heading 4"/>
    <w:basedOn w:val="1"/>
    <w:next w:val="1"/>
    <w:unhideWhenUsed/>
    <w:qFormat/>
    <w:uiPriority w:val="0"/>
    <w:pPr>
      <w:keepNext/>
      <w:keepLines/>
      <w:widowControl w:val="0"/>
      <w:spacing w:before="280" w:after="290" w:line="376" w:lineRule="auto"/>
      <w:jc w:val="both"/>
      <w:outlineLvl w:val="3"/>
    </w:pPr>
    <w:rPr>
      <w:rFonts w:ascii="Calibri Light" w:hAnsi="Calibri Light" w:eastAsia="宋体" w:cs="Times New Roman"/>
      <w:b/>
      <w:bCs/>
      <w:kern w:val="2"/>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unhideWhenUsed/>
    <w:qFormat/>
    <w:uiPriority w:val="99"/>
    <w:rPr>
      <w:rFonts w:ascii="Arial" w:hAnsi="Arial" w:cs="Arial"/>
      <w:b/>
      <w:bCs/>
    </w:rPr>
  </w:style>
  <w:style w:type="paragraph" w:styleId="5">
    <w:name w:val="index 1"/>
    <w:basedOn w:val="1"/>
    <w:next w:val="1"/>
    <w:unhideWhenUsed/>
    <w:qFormat/>
    <w:uiPriority w:val="99"/>
    <w:pPr>
      <w:spacing w:line="192" w:lineRule="auto"/>
      <w:jc w:val="center"/>
    </w:pPr>
    <w:rPr>
      <w:rFonts w:ascii="宋体" w:hAnsi="宋体"/>
      <w:szCs w:val="20"/>
    </w:rPr>
  </w:style>
  <w:style w:type="paragraph" w:styleId="8">
    <w:name w:val="Normal Indent"/>
    <w:basedOn w:val="1"/>
    <w:next w:val="1"/>
    <w:qFormat/>
    <w:uiPriority w:val="0"/>
    <w:pPr>
      <w:ind w:firstLine="420"/>
    </w:pPr>
    <w:rPr>
      <w:rFonts w:ascii="Times New Roman" w:hAnsi="Times New Roman" w:eastAsia="宋体" w:cs="Times New Roman"/>
      <w:kern w:val="0"/>
    </w:rPr>
  </w:style>
  <w:style w:type="paragraph" w:styleId="9">
    <w:name w:val="caption"/>
    <w:basedOn w:val="1"/>
    <w:next w:val="1"/>
    <w:qFormat/>
    <w:uiPriority w:val="0"/>
    <w:pPr>
      <w:ind w:firstLine="0" w:firstLineChars="0"/>
      <w:jc w:val="center"/>
    </w:pPr>
    <w:rPr>
      <w:rFonts w:ascii="宋体" w:hAnsi="宋体" w:eastAsia="宋体"/>
      <w:b/>
      <w:color w:val="auto"/>
      <w:sz w:val="24"/>
      <w:szCs w:val="20"/>
    </w:rPr>
  </w:style>
  <w:style w:type="paragraph" w:styleId="10">
    <w:name w:val="Salutation"/>
    <w:basedOn w:val="1"/>
    <w:next w:val="1"/>
    <w:qFormat/>
    <w:uiPriority w:val="0"/>
  </w:style>
  <w:style w:type="paragraph" w:styleId="11">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p15"/>
    <w:basedOn w:val="1"/>
    <w:qFormat/>
    <w:uiPriority w:val="0"/>
    <w:pPr>
      <w:widowControl/>
    </w:pPr>
    <w:rPr>
      <w:rFonts w:ascii="Times New Roman" w:hAnsi="Times New Roman" w:eastAsia="宋体" w:cs="Times New Roman"/>
      <w:kern w:val="0"/>
      <w:szCs w:val="21"/>
    </w:rPr>
  </w:style>
  <w:style w:type="paragraph" w:customStyle="1" w:styleId="19">
    <w:name w:val="BodyText"/>
    <w:basedOn w:val="1"/>
    <w:qFormat/>
    <w:uiPriority w:val="0"/>
    <w:pPr>
      <w:spacing w:after="120"/>
    </w:pPr>
  </w:style>
  <w:style w:type="paragraph" w:customStyle="1" w:styleId="20">
    <w:name w:val="TOC7"/>
    <w:basedOn w:val="1"/>
    <w:next w:val="1"/>
    <w:qFormat/>
    <w:uiPriority w:val="0"/>
    <w:pPr>
      <w:ind w:left="2520"/>
      <w:jc w:val="both"/>
      <w:textAlignment w:val="baseline"/>
    </w:pPr>
    <w:rPr>
      <w:rFonts w:ascii="Times New Roman" w:hAnsi="Times New Roman" w:eastAsia="宋体" w:cs="宋体"/>
      <w:kern w:val="1"/>
      <w:sz w:val="21"/>
      <w:szCs w:val="24"/>
      <w:lang w:val="en-US" w:eastAsia="zh-CN" w:bidi="ar-SA"/>
    </w:rPr>
  </w:style>
  <w:style w:type="character" w:customStyle="1" w:styleId="2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2021-10-15T23:35:00Z</dcterms:created>
  <dc:creator>Administrator</dc:creator>
  <cp:lastModifiedBy>greatwall</cp:lastModifiedBy>
  <cp:lastPrinted>2024-01-21T08:16:00Z</cp:lastPrinted>
  <dcterms:modified xsi:type="dcterms:W3CDTF">2024-02-01T11:26:11Z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772E5C2D8C0C79C3D7C2C063F75442BA</vt:lpwstr>
  </property>
</Properties>
</file>