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ascii="微软雅黑" w:hAnsi="微软雅黑" w:eastAsia="微软雅黑" w:cs="微软雅黑"/>
        </w:rPr>
      </w:pPr>
      <w:r>
        <w:rPr>
          <w:rFonts w:ascii="黑体" w:hAnsi="宋体" w:eastAsia="黑体" w:cs="黑体"/>
          <w:sz w:val="43"/>
          <w:szCs w:val="43"/>
          <w:vertAlign w:val="baseline"/>
        </w:rPr>
        <w:br w:type="textWrapping"/>
      </w:r>
      <w:r>
        <w:rPr>
          <w:rFonts w:hint="eastAsia" w:ascii="黑体" w:hAnsi="宋体" w:eastAsia="黑体" w:cs="黑体"/>
          <w:sz w:val="43"/>
          <w:szCs w:val="43"/>
          <w:vertAlign w:val="baseline"/>
        </w:rPr>
        <w:t>海南省万宁市公安局2019年度部门决算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b/>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sz w:val="43"/>
          <w:szCs w:val="43"/>
          <w:vertAlign w:val="baseline"/>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第一部分 海南省万宁市公安局概况</w:t>
      </w:r>
      <w:r>
        <w:rPr>
          <w:rFonts w:hint="eastAsia" w:ascii="微软雅黑" w:hAnsi="微软雅黑" w:eastAsia="微软雅黑" w:cs="微软雅黑"/>
          <w:vertAlign w:val="baseline"/>
        </w:rPr>
        <w:t> </w:t>
      </w:r>
      <w:r>
        <w:rPr>
          <w:rFonts w:hint="eastAsia" w:ascii="宋体" w:hAnsi="宋体" w:eastAsia="宋体" w:cs="宋体"/>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ascii="仿宋" w:hAnsi="仿宋" w:eastAsia="仿宋" w:cs="仿宋"/>
          <w:sz w:val="31"/>
          <w:szCs w:val="31"/>
          <w:vertAlign w:val="baseline"/>
        </w:rPr>
        <w:t>一、部门职责</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二、机构设置</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第二部分 海南省万宁市公安局2019年度部门决算批复表</w:t>
      </w:r>
      <w:r>
        <w:rPr>
          <w:rFonts w:hint="eastAsia" w:ascii="微软雅黑" w:hAnsi="微软雅黑" w:eastAsia="微软雅黑" w:cs="微软雅黑"/>
          <w:vertAlign w:val="baseline"/>
        </w:rPr>
        <w:t> </w:t>
      </w:r>
      <w:r>
        <w:rPr>
          <w:rFonts w:hint="eastAsia" w:ascii="宋体" w:hAnsi="宋体" w:eastAsia="宋体" w:cs="宋体"/>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一、收入支出决算批复表</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二、收入决算批复表</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三、支出决算批复表</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四、 财政拨款收入支出决算批复表</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五、一般公共预算财政拨款收入支出决算批复表</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六、一般公共预算财政拨款基本支出决算批复表</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七、政府性基金预算财政拨款收入支出决算批复表</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八、一般公共预算财政拨款“三公”经费支出决算批复表</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九、政府性基金预算财政拨款“三公”经费支出决算批复表</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第三部分</w:t>
      </w:r>
      <w:r>
        <w:rPr>
          <w:rFonts w:hint="eastAsia" w:ascii="宋体" w:hAnsi="宋体" w:eastAsia="宋体" w:cs="宋体"/>
          <w:sz w:val="31"/>
          <w:szCs w:val="31"/>
          <w:vertAlign w:val="baseline"/>
        </w:rPr>
        <w:t> 万宁市</w:t>
      </w:r>
      <w:r>
        <w:rPr>
          <w:rFonts w:hint="eastAsia" w:ascii="黑体" w:hAnsi="宋体" w:eastAsia="黑体" w:cs="黑体"/>
          <w:sz w:val="31"/>
          <w:szCs w:val="31"/>
          <w:vertAlign w:val="baseline"/>
        </w:rPr>
        <w:t>公安局2019年度部门决算情况说明</w:t>
      </w:r>
      <w:r>
        <w:rPr>
          <w:rFonts w:hint="eastAsia" w:ascii="微软雅黑" w:hAnsi="微软雅黑" w:eastAsia="微软雅黑" w:cs="微软雅黑"/>
          <w:vertAlign w:val="baseline"/>
        </w:rPr>
        <w:t> </w:t>
      </w:r>
      <w:r>
        <w:rPr>
          <w:rFonts w:hint="eastAsia" w:ascii="宋体" w:hAnsi="宋体" w:eastAsia="宋体" w:cs="宋体"/>
          <w:sz w:val="31"/>
          <w:szCs w:val="31"/>
          <w:vertAlign w:val="baseline"/>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一、收入支出决算总体情况说明</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二、收入决算情况说明</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三、支出决算情况说明</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四、财政拨款收入支出决算总体情况说明</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五、一般公共预算财政拨款支出决算情况说明</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六、一般公共预算财政拨款基本支出决算情况说明</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七、政府性基金预算财政拨款收入支出决算情况说明</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八、一般公共预算财政拨款“三公”经费支出决算情况说明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九、政府性基金预算财政拨款“三公”经费支出决算情况说明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十、预算绩效情况说明</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sz w:val="31"/>
          <w:szCs w:val="31"/>
          <w:vertAlign w:val="baseline"/>
        </w:rPr>
        <w:t>十一、其他重要事项情况说明</w:t>
      </w:r>
      <w:r>
        <w:rPr>
          <w:rFonts w:hint="eastAsia" w:ascii="微软雅黑" w:hAnsi="微软雅黑" w:eastAsia="微软雅黑" w:cs="微软雅黑"/>
          <w:vertAlign w:val="baseline"/>
        </w:rPr>
        <w:t> </w:t>
      </w:r>
      <w:r>
        <w:rPr>
          <w:rFonts w:hint="eastAsia" w:ascii="仿宋" w:hAnsi="仿宋" w:eastAsia="仿宋" w:cs="仿宋"/>
          <w:sz w:val="31"/>
          <w:szCs w:val="31"/>
          <w:vertAlign w:val="baseline"/>
        </w:rPr>
        <w:t>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第四部分  名词解释</w:t>
      </w:r>
      <w:r>
        <w:rPr>
          <w:rFonts w:hint="eastAsia" w:ascii="微软雅黑" w:hAnsi="微软雅黑" w:eastAsia="微软雅黑" w:cs="微软雅黑"/>
          <w:vertAlign w:val="baseline"/>
        </w:rPr>
        <w:t> </w:t>
      </w:r>
      <w:r>
        <w:rPr>
          <w:rFonts w:hint="eastAsia" w:ascii="宋体" w:hAnsi="宋体" w:eastAsia="宋体" w:cs="宋体"/>
          <w:sz w:val="31"/>
          <w:szCs w:val="31"/>
          <w:vertAlign w:val="baseline"/>
        </w:rPr>
        <w:t>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b/>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b/>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b/>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b/>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b/>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b/>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第一部分 　万宁市公安局部门概况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ascii="楷体" w:hAnsi="楷体" w:eastAsia="楷体" w:cs="楷体"/>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1365" w:right="0" w:hanging="72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一、 部门职责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5" w:right="0" w:hanging="72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二、 1.贯彻执行党和国家以及省委、省政府关于公安工作的路线、方针、政策。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5" w:right="0" w:hanging="72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三、 2.防范和打击危害国家安全及一切敌视社会主义的破坏活动。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5" w:right="0" w:hanging="72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四、 3.防范和打击各种刑事犯罪包括经济领域的严重犯罪活动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5" w:right="0" w:hanging="72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五、 4.加强治安行政管理，消除、减少发生犯罪和危害社会治安的各种不安定因素，创造和维护一个良好的社会秩序。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5" w:right="0" w:hanging="72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六、 5.做好预审和看守所的管理工作。对被依法拘留、逮捕的犯罪嫌疑人进行审讯、看管和教育。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1365" w:right="0" w:firstLine="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ascii="仿宋_GB2312" w:hAnsi="微软雅黑" w:eastAsia="仿宋_GB2312" w:cs="仿宋_GB2312"/>
          <w:sz w:val="31"/>
          <w:szCs w:val="31"/>
          <w:vertAlign w:val="baseline"/>
        </w:rPr>
        <w:t>纳入</w:t>
      </w:r>
      <w:r>
        <w:rPr>
          <w:rFonts w:hint="default" w:ascii="仿宋_GB2312" w:hAnsi="微软雅黑" w:eastAsia="仿宋_GB2312" w:cs="仿宋_GB2312"/>
          <w:sz w:val="31"/>
          <w:szCs w:val="31"/>
          <w:vertAlign w:val="baseline"/>
        </w:rPr>
        <w:t>海南省万宁市公安局2019年度部门决算编制范围的二级预算单位包括：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sz w:val="31"/>
          <w:szCs w:val="31"/>
          <w:vertAlign w:val="baseline"/>
        </w:rPr>
        <w:t>（一）海南省万宁市公安局2019年度部门决算汇总部门本级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sz w:val="31"/>
          <w:szCs w:val="31"/>
          <w:vertAlign w:val="baseline"/>
        </w:rPr>
        <w:t>（二）万宁市公安局（下属单位）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1、公安局兴隆分局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2、看守所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3、交通管理大队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4、山根派出所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5、和乐派出所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6、禄马派出所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7、后安派出所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8、北大派出所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9、大茂派出所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10、北坡派出所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11、城西派出所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12、东澳派出所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13、长丰派出所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14、牛漏派出所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15、南桥派出所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16、三更罗派出所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17、新梅派出所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18、环城派出所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19、万城派出所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20、城北派出所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21、东星派出所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22、东山岭派出所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23、乐来派出所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95" w:right="0" w:firstLine="0"/>
        <w:textAlignment w:val="baseline"/>
        <w:rPr>
          <w:rFonts w:hint="eastAsia" w:ascii="微软雅黑" w:hAnsi="微软雅黑" w:eastAsia="微软雅黑" w:cs="微软雅黑"/>
        </w:rPr>
      </w:pPr>
      <w:r>
        <w:rPr>
          <w:rFonts w:hint="eastAsia" w:ascii="宋体" w:hAnsi="宋体" w:eastAsia="宋体" w:cs="宋体"/>
          <w:b/>
          <w:sz w:val="31"/>
          <w:szCs w:val="31"/>
          <w:vertAlign w:val="baseline"/>
        </w:rPr>
        <w:t>24、公安局东和分局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第二部分</w:t>
      </w:r>
      <w:r>
        <w:rPr>
          <w:rFonts w:hint="eastAsia" w:ascii="楷体" w:hAnsi="楷体" w:eastAsia="楷体" w:cs="楷体"/>
          <w:sz w:val="31"/>
          <w:szCs w:val="31"/>
          <w:vertAlign w:val="baseline"/>
        </w:rPr>
        <w:t>万宁市公安局</w:t>
      </w:r>
      <w:r>
        <w:rPr>
          <w:rFonts w:hint="eastAsia" w:ascii="黑体" w:hAnsi="宋体" w:eastAsia="黑体" w:cs="黑体"/>
          <w:sz w:val="31"/>
          <w:szCs w:val="31"/>
          <w:vertAlign w:val="baseline"/>
        </w:rPr>
        <w:t>2019年度部门决算公开报表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一、收入支出决算批复表（见正文附件）。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二、收入决算批复表（见正文附件）。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三、支出决算批复表（见正文附件）。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四、财政拨款收入支出决算批复表（见正文附件）。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五、一般公共预算财政拨款收入支出决算批复表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130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（见正文附件）。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六、一般公共预算财政拨款基本支出决算批复表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127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（见正文附件）。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1215" w:right="0" w:hanging="48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七、政府性基金预算财政拨款收入支出决算批复表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1455" w:right="0" w:firstLine="16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（见正文附件）。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    八、一般公共预算财政拨款“三公”经费支出决算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         批复表（见正文附件）。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    九、政府性基金预算财政拨款“三公”经费支出决算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          批复表（见正文附件）。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color w:val="0066CC"/>
          <w:sz w:val="18"/>
          <w:szCs w:val="18"/>
          <w:u w:val="none"/>
          <w:vertAlign w:val="baseline"/>
        </w:rPr>
        <w:fldChar w:fldCharType="begin"/>
      </w:r>
      <w:r>
        <w:rPr>
          <w:rFonts w:hint="eastAsia" w:ascii="微软雅黑" w:hAnsi="微软雅黑" w:eastAsia="微软雅黑" w:cs="微软雅黑"/>
          <w:color w:val="0066CC"/>
          <w:sz w:val="18"/>
          <w:szCs w:val="18"/>
          <w:u w:val="none"/>
          <w:vertAlign w:val="baseline"/>
        </w:rPr>
        <w:instrText xml:space="preserve"> HYPERLINK "http://wanning.hainan.gov.cn/wanning/zfxxgk/sgbmgk/gaj/gkml/202011/P020201130594628161698.xls" \o "海南省万宁市公安局2019年度部门决算汇总.xls" </w:instrText>
      </w:r>
      <w:r>
        <w:rPr>
          <w:rFonts w:hint="eastAsia" w:ascii="微软雅黑" w:hAnsi="微软雅黑" w:eastAsia="微软雅黑" w:cs="微软雅黑"/>
          <w:color w:val="0066CC"/>
          <w:sz w:val="18"/>
          <w:szCs w:val="18"/>
          <w:u w:val="none"/>
          <w:vertAlign w:val="baseline"/>
        </w:rPr>
        <w:fldChar w:fldCharType="separate"/>
      </w:r>
      <w:r>
        <w:rPr>
          <w:rStyle w:val="5"/>
          <w:rFonts w:hint="eastAsia" w:ascii="微软雅黑" w:hAnsi="微软雅黑" w:eastAsia="微软雅黑" w:cs="微软雅黑"/>
          <w:color w:val="0066CC"/>
          <w:sz w:val="18"/>
          <w:szCs w:val="18"/>
          <w:u w:val="none"/>
          <w:vertAlign w:val="baseline"/>
        </w:rPr>
        <w:t>海南省万宁市公安局2019年度部门决算汇总.xls</w:t>
      </w:r>
      <w:r>
        <w:rPr>
          <w:rFonts w:hint="eastAsia" w:ascii="微软雅黑" w:hAnsi="微软雅黑" w:eastAsia="微软雅黑" w:cs="微软雅黑"/>
          <w:color w:val="0066CC"/>
          <w:sz w:val="18"/>
          <w:szCs w:val="18"/>
          <w:u w:val="none"/>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第三部分 万宁市公安局2019年度部门决算情况说明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一、收入支出决算总体情况说明</w:t>
      </w:r>
      <w:r>
        <w:rPr>
          <w:rFonts w:hint="eastAsia" w:ascii="宋体" w:hAnsi="宋体" w:eastAsia="宋体" w:cs="宋体"/>
          <w:sz w:val="24"/>
          <w:szCs w:val="24"/>
          <w:vertAlign w:val="baseline"/>
        </w:rPr>
        <w:br w:type="textWrapping"/>
      </w:r>
      <w:r>
        <w:rPr>
          <w:rFonts w:ascii="楷体_GB2312" w:hAnsi="微软雅黑" w:eastAsia="楷体_GB2312" w:cs="楷体_GB2312"/>
          <w:sz w:val="31"/>
          <w:szCs w:val="31"/>
          <w:vertAlign w:val="baseline"/>
        </w:rPr>
        <w:t>    </w:t>
      </w:r>
      <w:r>
        <w:rPr>
          <w:rFonts w:hint="default" w:ascii="仿宋_GB2312" w:hAnsi="微软雅黑" w:eastAsia="仿宋_GB2312" w:cs="仿宋_GB2312"/>
          <w:sz w:val="31"/>
          <w:szCs w:val="31"/>
          <w:vertAlign w:val="baseline"/>
        </w:rPr>
        <w:t>2019年度收、支总计37,940.19万元，与2018年度相比，收入、支出总计各减少7126.09万元，下降18.78%。主要原因：项目减少。用事业基金弥补收支差额0.00万元，较2018年度决算数增加（减少）0万元，主要原因是</w:t>
      </w:r>
      <w:r>
        <w:rPr>
          <w:rFonts w:ascii="ˎ̥" w:hAnsi="ˎ̥" w:eastAsia="ˎ̥" w:cs="ˎ̥"/>
          <w:sz w:val="31"/>
          <w:szCs w:val="31"/>
          <w:vertAlign w:val="baseline"/>
        </w:rPr>
        <w:t>……</w:t>
      </w:r>
      <w:r>
        <w:rPr>
          <w:rFonts w:hint="default" w:ascii="仿宋_GB2312" w:hAnsi="微软雅黑" w:eastAsia="仿宋_GB2312" w:cs="仿宋_GB2312"/>
          <w:sz w:val="31"/>
          <w:szCs w:val="31"/>
          <w:vertAlign w:val="baseline"/>
        </w:rPr>
        <w:t>。年初结转结余12,129.62万元，主要是中央政法装备经费结余（简要说明结转结余形成或来源），较2018年度决算数减少5459.82万元，下降31.04%，主要原因是中央政法装备经费结余。结余分配0万元，主要是</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（资金分配去向），较2018年度决算数增加（减少）0万元，增长（下降）0%，主要原因是</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。年末结转结余12,177.22万元，主要是中央政法装备经费结余（简要说明结转结余是什么钱），较2018年度决算数增加减少380.07万元，增长3.22%，主要原因是中央政法装备经费结余。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二、收入决算情况说明</w:t>
      </w:r>
      <w:r>
        <w:rPr>
          <w:rFonts w:hint="eastAsia" w:ascii="宋体" w:hAnsi="宋体" w:eastAsia="宋体" w:cs="宋体"/>
          <w:sz w:val="24"/>
          <w:szCs w:val="24"/>
          <w:vertAlign w:val="baseline"/>
        </w:rPr>
        <w:br w:type="textWrapping"/>
      </w:r>
      <w:r>
        <w:rPr>
          <w:rFonts w:hint="default" w:ascii="仿宋_GB2312" w:hAnsi="微软雅黑" w:eastAsia="仿宋_GB2312" w:cs="仿宋_GB2312"/>
          <w:sz w:val="31"/>
          <w:szCs w:val="31"/>
          <w:vertAlign w:val="baseline"/>
        </w:rPr>
        <w:t>    本年收入合计25,810.57万元，其中：财政拨款收入23,739.81万元，占91%；上级补助收入0.00万元，占0%；事业收入0.00万元，占0%；经营收入0.00万元，占0%；附属单位上缴收入0.00万元，占0%；其他收入2,070.76万元，占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3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本年支出合计25,762.97万元，其中：基本支出10,299.50万元，占40%；项目支出15,463.46万元，占60%；上缴上级支出0.00万元，占0%；经营支出0.00万元，占0%；对附属单位补助支出0.00万元，占0%。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3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2019年度财政拨款收入、支出总计33,338.94万元。与2018年度相比，财政拨款收入、支出总计各减少6811.95万元，下降%。主要原因：中央政法装备经费结余。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财政拨款年初结转结余9,599.13万元，主要是中央政法装备经费结余（简要说明结转结余形成或来源），较2018年度决算数减少5443.59万元，下降36%，主要原因是项目减少。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财政拨款年末结转结余9,773.83万元，主要是中央政法装备经费结余（简要说明结转结余是什么钱），较2018年度年末决算数增加507.78万元，增长5.4%，主要原因是中央政法装备经费结余。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3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sz w:val="31"/>
          <w:szCs w:val="31"/>
          <w:vertAlign w:val="baseline"/>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2019年度一般公共预算财政拨款支出23,232.64万元，占本年支出合计的90.18%。与2018年度相比，财政拨款支出减少3936.49万元，下降14.49%，主要原因是办案业务费、戒毒康复中心安防系统及办公家具购置费、禁毒经费、协警人员服装购置费、户籍档案数字化服务费、环境综合治理、设备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sz w:val="31"/>
          <w:szCs w:val="31"/>
          <w:vertAlign w:val="baseline"/>
        </w:rPr>
        <w:t>（二）一般公共预算财政拨款支出决算结构情况。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2019年度一般公共预算财政拨款支出23,232.64万元，主要用于以下方面：</w:t>
      </w:r>
      <w:r>
        <w:rPr>
          <w:rFonts w:hint="default" w:ascii="仿宋_GB2312" w:hAnsi="微软雅黑" w:eastAsia="仿宋_GB2312" w:cs="仿宋_GB2312"/>
          <w:b/>
          <w:sz w:val="31"/>
          <w:szCs w:val="31"/>
          <w:vertAlign w:val="baseline"/>
        </w:rPr>
        <w:t>一般公共服务（类）</w:t>
      </w:r>
      <w:r>
        <w:rPr>
          <w:rFonts w:hint="default" w:ascii="仿宋_GB2312" w:hAnsi="微软雅黑" w:eastAsia="仿宋_GB2312" w:cs="仿宋_GB2312"/>
          <w:sz w:val="31"/>
          <w:szCs w:val="31"/>
          <w:vertAlign w:val="baseline"/>
        </w:rPr>
        <w:t>支出493.1万元，占21.2%；公共安全支出8879.68万元</w:t>
      </w:r>
      <w:r>
        <w:rPr>
          <w:rFonts w:hint="default" w:ascii="仿宋_GB2312" w:hAnsi="微软雅黑" w:eastAsia="仿宋_GB2312" w:cs="仿宋_GB2312"/>
          <w:b/>
          <w:sz w:val="31"/>
          <w:szCs w:val="31"/>
          <w:vertAlign w:val="baseline"/>
        </w:rPr>
        <w:t>（类）</w:t>
      </w:r>
      <w:r>
        <w:rPr>
          <w:rFonts w:hint="default" w:ascii="仿宋_GB2312" w:hAnsi="微软雅黑" w:eastAsia="仿宋_GB2312" w:cs="仿宋_GB2312"/>
          <w:sz w:val="31"/>
          <w:szCs w:val="31"/>
          <w:vertAlign w:val="baseline"/>
        </w:rPr>
        <w:t>占38.2%</w:t>
      </w:r>
      <w:r>
        <w:rPr>
          <w:rFonts w:hint="default" w:ascii="仿宋_GB2312" w:hAnsi="微软雅黑" w:eastAsia="仿宋_GB2312" w:cs="仿宋_GB2312"/>
          <w:b/>
          <w:sz w:val="31"/>
          <w:szCs w:val="31"/>
          <w:vertAlign w:val="baseline"/>
        </w:rPr>
        <w:t>，强制隔离戒毒</w:t>
      </w:r>
      <w:r>
        <w:rPr>
          <w:rFonts w:hint="default" w:ascii="仿宋_GB2312" w:hAnsi="微软雅黑" w:eastAsia="仿宋_GB2312" w:cs="仿宋_GB2312"/>
          <w:sz w:val="31"/>
          <w:szCs w:val="31"/>
          <w:vertAlign w:val="baseline"/>
        </w:rPr>
        <w:t>支出</w:t>
      </w:r>
      <w:r>
        <w:rPr>
          <w:rFonts w:hint="default" w:ascii="仿宋_GB2312" w:hAnsi="微软雅黑" w:eastAsia="仿宋_GB2312" w:cs="仿宋_GB2312"/>
          <w:b/>
          <w:sz w:val="31"/>
          <w:szCs w:val="31"/>
          <w:vertAlign w:val="baseline"/>
        </w:rPr>
        <w:t>120</w:t>
      </w:r>
      <w:r>
        <w:rPr>
          <w:rFonts w:hint="default" w:ascii="仿宋_GB2312" w:hAnsi="微软雅黑" w:eastAsia="仿宋_GB2312" w:cs="仿宋_GB2312"/>
          <w:sz w:val="31"/>
          <w:szCs w:val="31"/>
          <w:vertAlign w:val="baseline"/>
        </w:rPr>
        <w:t>万元</w:t>
      </w:r>
      <w:r>
        <w:rPr>
          <w:rFonts w:hint="default" w:ascii="仿宋_GB2312" w:hAnsi="微软雅黑" w:eastAsia="仿宋_GB2312" w:cs="仿宋_GB2312"/>
          <w:b/>
          <w:sz w:val="31"/>
          <w:szCs w:val="31"/>
          <w:vertAlign w:val="baseline"/>
        </w:rPr>
        <w:t>（类）</w:t>
      </w:r>
      <w:r>
        <w:rPr>
          <w:rFonts w:hint="default" w:ascii="仿宋_GB2312" w:hAnsi="微软雅黑" w:eastAsia="仿宋_GB2312" w:cs="仿宋_GB2312"/>
          <w:sz w:val="31"/>
          <w:szCs w:val="31"/>
          <w:vertAlign w:val="baseline"/>
        </w:rPr>
        <w:t>占5.1%</w:t>
      </w:r>
      <w:r>
        <w:rPr>
          <w:rFonts w:hint="default" w:ascii="仿宋_GB2312" w:hAnsi="微软雅黑" w:eastAsia="仿宋_GB2312" w:cs="仿宋_GB2312"/>
          <w:b/>
          <w:sz w:val="31"/>
          <w:szCs w:val="31"/>
          <w:vertAlign w:val="baseline"/>
        </w:rPr>
        <w:t>，其他公共安全支出212.2</w:t>
      </w:r>
      <w:r>
        <w:rPr>
          <w:rFonts w:hint="default" w:ascii="仿宋_GB2312" w:hAnsi="微软雅黑" w:eastAsia="仿宋_GB2312" w:cs="仿宋_GB2312"/>
          <w:sz w:val="31"/>
          <w:szCs w:val="31"/>
          <w:vertAlign w:val="baseline"/>
        </w:rPr>
        <w:t>万元</w:t>
      </w:r>
      <w:r>
        <w:rPr>
          <w:rFonts w:hint="default" w:ascii="仿宋_GB2312" w:hAnsi="微软雅黑" w:eastAsia="仿宋_GB2312" w:cs="仿宋_GB2312"/>
          <w:b/>
          <w:sz w:val="31"/>
          <w:szCs w:val="31"/>
          <w:vertAlign w:val="baseline"/>
        </w:rPr>
        <w:t>（类）</w:t>
      </w:r>
      <w:r>
        <w:rPr>
          <w:rFonts w:hint="default" w:ascii="仿宋_GB2312" w:hAnsi="微软雅黑" w:eastAsia="仿宋_GB2312" w:cs="仿宋_GB2312"/>
          <w:sz w:val="31"/>
          <w:szCs w:val="31"/>
          <w:vertAlign w:val="baseline"/>
        </w:rPr>
        <w:t>占9%</w:t>
      </w:r>
      <w:r>
        <w:rPr>
          <w:rFonts w:hint="default" w:ascii="仿宋_GB2312" w:hAnsi="微软雅黑" w:eastAsia="仿宋_GB2312" w:cs="仿宋_GB2312"/>
          <w:b/>
          <w:sz w:val="31"/>
          <w:szCs w:val="31"/>
          <w:vertAlign w:val="baseline"/>
        </w:rPr>
        <w:t>，科学技术支出支出114.51</w:t>
      </w:r>
      <w:r>
        <w:rPr>
          <w:rFonts w:hint="default" w:ascii="仿宋_GB2312" w:hAnsi="微软雅黑" w:eastAsia="仿宋_GB2312" w:cs="仿宋_GB2312"/>
          <w:sz w:val="31"/>
          <w:szCs w:val="31"/>
          <w:vertAlign w:val="baseline"/>
        </w:rPr>
        <w:t>万元</w:t>
      </w:r>
      <w:r>
        <w:rPr>
          <w:rFonts w:hint="default" w:ascii="仿宋_GB2312" w:hAnsi="微软雅黑" w:eastAsia="仿宋_GB2312" w:cs="仿宋_GB2312"/>
          <w:b/>
          <w:sz w:val="31"/>
          <w:szCs w:val="31"/>
          <w:vertAlign w:val="baseline"/>
        </w:rPr>
        <w:t>（类）</w:t>
      </w:r>
      <w:r>
        <w:rPr>
          <w:rFonts w:hint="default" w:ascii="仿宋_GB2312" w:hAnsi="微软雅黑" w:eastAsia="仿宋_GB2312" w:cs="仿宋_GB2312"/>
          <w:sz w:val="31"/>
          <w:szCs w:val="31"/>
          <w:vertAlign w:val="baseline"/>
        </w:rPr>
        <w:t>占4.9%</w:t>
      </w:r>
      <w:r>
        <w:rPr>
          <w:rFonts w:hint="default" w:ascii="仿宋_GB2312" w:hAnsi="微软雅黑" w:eastAsia="仿宋_GB2312" w:cs="仿宋_GB2312"/>
          <w:b/>
          <w:sz w:val="31"/>
          <w:szCs w:val="31"/>
          <w:vertAlign w:val="baseline"/>
        </w:rPr>
        <w:t>，卫生健康支出支出7.38</w:t>
      </w:r>
      <w:r>
        <w:rPr>
          <w:rFonts w:hint="default" w:ascii="仿宋_GB2312" w:hAnsi="微软雅黑" w:eastAsia="仿宋_GB2312" w:cs="仿宋_GB2312"/>
          <w:sz w:val="31"/>
          <w:szCs w:val="31"/>
          <w:vertAlign w:val="baseline"/>
        </w:rPr>
        <w:t>万元</w:t>
      </w:r>
      <w:r>
        <w:rPr>
          <w:rFonts w:hint="default" w:ascii="仿宋_GB2312" w:hAnsi="微软雅黑" w:eastAsia="仿宋_GB2312" w:cs="仿宋_GB2312"/>
          <w:b/>
          <w:sz w:val="31"/>
          <w:szCs w:val="31"/>
          <w:vertAlign w:val="baseline"/>
        </w:rPr>
        <w:t>（类）</w:t>
      </w:r>
      <w:r>
        <w:rPr>
          <w:rFonts w:hint="default" w:ascii="仿宋_GB2312" w:hAnsi="微软雅黑" w:eastAsia="仿宋_GB2312" w:cs="仿宋_GB2312"/>
          <w:sz w:val="31"/>
          <w:szCs w:val="31"/>
          <w:vertAlign w:val="baseline"/>
        </w:rPr>
        <w:t>占0.3%</w:t>
      </w:r>
      <w:r>
        <w:rPr>
          <w:rFonts w:hint="default" w:ascii="仿宋_GB2312" w:hAnsi="微软雅黑" w:eastAsia="仿宋_GB2312" w:cs="仿宋_GB2312"/>
          <w:b/>
          <w:sz w:val="31"/>
          <w:szCs w:val="31"/>
          <w:vertAlign w:val="baseline"/>
        </w:rPr>
        <w:t>，社会保障和就业（类）</w:t>
      </w:r>
      <w:r>
        <w:rPr>
          <w:rFonts w:hint="default" w:ascii="仿宋_GB2312" w:hAnsi="微软雅黑" w:eastAsia="仿宋_GB2312" w:cs="仿宋_GB2312"/>
          <w:sz w:val="31"/>
          <w:szCs w:val="31"/>
          <w:vertAlign w:val="baseline"/>
        </w:rPr>
        <w:t>支出40.35万元，占17.2%；</w:t>
      </w:r>
      <w:r>
        <w:rPr>
          <w:rFonts w:hint="default" w:ascii="仿宋_GB2312" w:hAnsi="微软雅黑" w:eastAsia="仿宋_GB2312" w:cs="仿宋_GB2312"/>
          <w:b/>
          <w:sz w:val="31"/>
          <w:szCs w:val="31"/>
          <w:vertAlign w:val="baseline"/>
        </w:rPr>
        <w:t>其他支出（类）</w:t>
      </w:r>
      <w:r>
        <w:rPr>
          <w:rFonts w:hint="default" w:ascii="仿宋_GB2312" w:hAnsi="微软雅黑" w:eastAsia="仿宋_GB2312" w:cs="仿宋_GB2312"/>
          <w:sz w:val="31"/>
          <w:szCs w:val="31"/>
          <w:vertAlign w:val="baseline"/>
        </w:rPr>
        <w:t>支出60万元，占2.5%。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（根据各部门（单位）实际支出涉及的支出功能分类类级科目填列）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sz w:val="31"/>
          <w:szCs w:val="31"/>
          <w:vertAlign w:val="baseline"/>
        </w:rPr>
        <w:t>（三）一般公共预算财政拨款支出决算具体情况。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2019年度财政拨款支出年初预算为12205.67万元，支出决算为23,232.64万元，完成年初预算的%。其中：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1.</w:t>
      </w:r>
      <w:r>
        <w:rPr>
          <w:rFonts w:hint="default" w:ascii="仿宋_GB2312" w:hAnsi="微软雅黑" w:eastAsia="仿宋_GB2312" w:cs="仿宋_GB2312"/>
          <w:b/>
          <w:sz w:val="31"/>
          <w:szCs w:val="31"/>
          <w:vertAlign w:val="baseline"/>
        </w:rPr>
        <w:t>一般公共服务（类）其他一般公共服务支出（款）  其他一般公共服务支出（项）。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年初预算为83.22万元，支出决算为304.83万元，完成年初预算的366.30%。决算数大于预算数的主要原因：支出是用上年结余。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  2.</w:t>
      </w:r>
      <w:r>
        <w:rPr>
          <w:rFonts w:hint="eastAsia" w:ascii="宋体" w:hAnsi="宋体" w:eastAsia="宋体" w:cs="宋体"/>
          <w:sz w:val="24"/>
          <w:szCs w:val="24"/>
          <w:vertAlign w:val="baseline"/>
        </w:rPr>
        <w:t> </w:t>
      </w:r>
      <w:r>
        <w:rPr>
          <w:rFonts w:hint="default" w:ascii="仿宋_GB2312" w:hAnsi="微软雅黑" w:eastAsia="仿宋_GB2312" w:cs="仿宋_GB2312"/>
          <w:sz w:val="31"/>
          <w:szCs w:val="31"/>
          <w:vertAlign w:val="baseline"/>
        </w:rPr>
        <w:t>公共安全支出</w:t>
      </w:r>
      <w:r>
        <w:rPr>
          <w:rFonts w:hint="default" w:ascii="仿宋_GB2312" w:hAnsi="微软雅黑" w:eastAsia="仿宋_GB2312" w:cs="仿宋_GB2312"/>
          <w:b/>
          <w:sz w:val="31"/>
          <w:szCs w:val="31"/>
          <w:vertAlign w:val="baseline"/>
        </w:rPr>
        <w:t>（类）公安（款）行政运行（项）。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年初预算为15180.57万元，支出决算为22357.04万元，完成年初预算的147.28%。决算数大于、预算数的主要原因：支出是用上年结余。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3. 公共安全支出</w:t>
      </w:r>
      <w:r>
        <w:rPr>
          <w:rFonts w:hint="default" w:ascii="仿宋_GB2312" w:hAnsi="微软雅黑" w:eastAsia="仿宋_GB2312" w:cs="仿宋_GB2312"/>
          <w:b/>
          <w:sz w:val="31"/>
          <w:szCs w:val="31"/>
          <w:vertAlign w:val="baseline"/>
        </w:rPr>
        <w:t>（类）公安（款）一般行政管理事务（项）。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年初预算为13,794.57万元，支出决算为21780.99万元，完成年初预算的157.90%。决算数大于预算数的主要原因：支出是用上年结余。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4. 公共安全支出</w:t>
      </w:r>
      <w:r>
        <w:rPr>
          <w:rFonts w:hint="default" w:ascii="仿宋_GB2312" w:hAnsi="微软雅黑" w:eastAsia="仿宋_GB2312" w:cs="仿宋_GB2312"/>
          <w:b/>
          <w:sz w:val="31"/>
          <w:szCs w:val="31"/>
          <w:vertAlign w:val="baseline"/>
        </w:rPr>
        <w:t>（类）公安（款）执法办案（项）。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年初预算为150万元，支出决算为728.6万元，完成年初预算的485.73%。决算数大于预算数的主要原因：办案经费及维稳经费增加。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5. 公共安全支出</w:t>
      </w:r>
      <w:r>
        <w:rPr>
          <w:rFonts w:hint="default" w:ascii="仿宋_GB2312" w:hAnsi="微软雅黑" w:eastAsia="仿宋_GB2312" w:cs="仿宋_GB2312"/>
          <w:b/>
          <w:sz w:val="31"/>
          <w:szCs w:val="31"/>
          <w:vertAlign w:val="baseline"/>
        </w:rPr>
        <w:t>（类）公安（款）其他公安支出（项）。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年初预算为7,546.32万元，支出决算为12256.11万元，完成年初预算的162.41%。决算数大于预算数的主要原因：办案经费及维稳经费增加。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6.</w:t>
      </w:r>
      <w:r>
        <w:rPr>
          <w:rFonts w:hint="eastAsia" w:ascii="宋体" w:hAnsi="宋体" w:eastAsia="宋体" w:cs="宋体"/>
          <w:sz w:val="24"/>
          <w:szCs w:val="24"/>
          <w:vertAlign w:val="baseline"/>
        </w:rPr>
        <w:t> </w:t>
      </w:r>
      <w:r>
        <w:rPr>
          <w:rFonts w:hint="default" w:ascii="仿宋_GB2312" w:hAnsi="微软雅黑" w:eastAsia="仿宋_GB2312" w:cs="仿宋_GB2312"/>
          <w:sz w:val="31"/>
          <w:szCs w:val="31"/>
          <w:vertAlign w:val="baseline"/>
        </w:rPr>
        <w:t>强制隔离戒毒</w:t>
      </w:r>
      <w:r>
        <w:rPr>
          <w:rFonts w:hint="default" w:ascii="仿宋_GB2312" w:hAnsi="微软雅黑" w:eastAsia="仿宋_GB2312" w:cs="仿宋_GB2312"/>
          <w:b/>
          <w:sz w:val="31"/>
          <w:szCs w:val="31"/>
          <w:vertAlign w:val="baseline"/>
        </w:rPr>
        <w:t>（类）其他强制隔离戒毒支出（项）。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年初预算为936万元，支出决算为444万元，完成年初预算的47.4%。决算数大于小于预算数的主要原因：宣传广告费、办案费、戒毒所经费。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7.其他公共安全支出</w:t>
      </w:r>
      <w:r>
        <w:rPr>
          <w:rFonts w:hint="default" w:ascii="仿宋_GB2312" w:hAnsi="微软雅黑" w:eastAsia="仿宋_GB2312" w:cs="仿宋_GB2312"/>
          <w:b/>
          <w:sz w:val="31"/>
          <w:szCs w:val="31"/>
          <w:vertAlign w:val="baseline"/>
        </w:rPr>
        <w:t>（类）</w:t>
      </w:r>
      <w:r>
        <w:rPr>
          <w:rFonts w:hint="default" w:ascii="仿宋_GB2312" w:hAnsi="微软雅黑" w:eastAsia="仿宋_GB2312" w:cs="仿宋_GB2312"/>
          <w:sz w:val="31"/>
          <w:szCs w:val="31"/>
          <w:vertAlign w:val="baseline"/>
        </w:rPr>
        <w:t>其他公共安全支出</w:t>
      </w:r>
      <w:r>
        <w:rPr>
          <w:rFonts w:hint="default" w:ascii="仿宋_GB2312" w:hAnsi="微软雅黑" w:eastAsia="仿宋_GB2312" w:cs="仿宋_GB2312"/>
          <w:b/>
          <w:sz w:val="31"/>
          <w:szCs w:val="31"/>
          <w:vertAlign w:val="baseline"/>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年初预算为50万元，支出决算为132.05万元，完成年初预算的264%。决算数大于小于预算数的主要原因：立体化防控项目。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8.</w:t>
      </w:r>
      <w:r>
        <w:rPr>
          <w:rFonts w:hint="eastAsia" w:ascii="宋体" w:hAnsi="宋体" w:eastAsia="宋体" w:cs="宋体"/>
          <w:sz w:val="24"/>
          <w:szCs w:val="24"/>
          <w:vertAlign w:val="baseline"/>
        </w:rPr>
        <w:t> </w:t>
      </w:r>
      <w:r>
        <w:rPr>
          <w:rFonts w:hint="default" w:ascii="仿宋_GB2312" w:hAnsi="微软雅黑" w:eastAsia="仿宋_GB2312" w:cs="仿宋_GB2312"/>
          <w:sz w:val="31"/>
          <w:szCs w:val="31"/>
          <w:vertAlign w:val="baseline"/>
        </w:rPr>
        <w:t>其他公共安全支出</w:t>
      </w:r>
      <w:r>
        <w:rPr>
          <w:rFonts w:hint="default" w:ascii="仿宋_GB2312" w:hAnsi="微软雅黑" w:eastAsia="仿宋_GB2312" w:cs="仿宋_GB2312"/>
          <w:b/>
          <w:sz w:val="31"/>
          <w:szCs w:val="31"/>
          <w:vertAlign w:val="baseline"/>
        </w:rPr>
        <w:t>（类）其他科学技术支出（款）其他科学技术支出（项）。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年初预算为0万元，支出决算为132.05万元，完成年初预算的0%。决算数大于预算数的主要原因：专用材料费。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9.科学技术支出</w:t>
      </w:r>
      <w:r>
        <w:rPr>
          <w:rFonts w:hint="default" w:ascii="仿宋_GB2312" w:hAnsi="微软雅黑" w:eastAsia="仿宋_GB2312" w:cs="仿宋_GB2312"/>
          <w:b/>
          <w:sz w:val="31"/>
          <w:szCs w:val="31"/>
          <w:vertAlign w:val="baseline"/>
        </w:rPr>
        <w:t>（类）其他科学技术支出（款）其他科学技术支出（项）。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年初预算为0万元，支出决算为45.38万元，完成年初预算的0%。决算数大于预算数的主要原因：专用材料费。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10.</w:t>
      </w:r>
      <w:r>
        <w:rPr>
          <w:rFonts w:hint="eastAsia" w:ascii="宋体" w:hAnsi="宋体" w:eastAsia="宋体" w:cs="宋体"/>
          <w:sz w:val="24"/>
          <w:szCs w:val="24"/>
          <w:vertAlign w:val="baseline"/>
        </w:rPr>
        <w:t> </w:t>
      </w:r>
      <w:r>
        <w:rPr>
          <w:rFonts w:hint="default" w:ascii="仿宋_GB2312" w:hAnsi="微软雅黑" w:eastAsia="仿宋_GB2312" w:cs="仿宋_GB2312"/>
          <w:sz w:val="31"/>
          <w:szCs w:val="31"/>
          <w:vertAlign w:val="baseline"/>
        </w:rPr>
        <w:t>社会保障和就业支出</w:t>
      </w:r>
      <w:r>
        <w:rPr>
          <w:rFonts w:hint="default" w:ascii="仿宋_GB2312" w:hAnsi="微软雅黑" w:eastAsia="仿宋_GB2312" w:cs="仿宋_GB2312"/>
          <w:b/>
          <w:sz w:val="31"/>
          <w:szCs w:val="31"/>
          <w:vertAlign w:val="baseline"/>
        </w:rPr>
        <w:t>（类）行政事业单位离退休（款）机关事业单位基本养老保险缴费支出（项）。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年初预算为0万元，支出决算为914.54万元，完成年初预算的0%。决算数大于小于预算数的主要原因：人员工资增加。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11. 社会保障和就业支出</w:t>
      </w:r>
      <w:r>
        <w:rPr>
          <w:rFonts w:hint="default" w:ascii="仿宋_GB2312" w:hAnsi="微软雅黑" w:eastAsia="仿宋_GB2312" w:cs="仿宋_GB2312"/>
          <w:b/>
          <w:sz w:val="31"/>
          <w:szCs w:val="31"/>
          <w:vertAlign w:val="baseline"/>
        </w:rPr>
        <w:t>（类）行政事业单位离退休（款）机关事业单位职业年金缴费支出（项）。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年初预算为0万元，支出决算为30.49万元，完成年初预算的0%。决算数大于（小于）预算数的主要原因：协警人员社保费支出。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16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12.抚恤</w:t>
      </w:r>
      <w:r>
        <w:rPr>
          <w:rFonts w:hint="default" w:ascii="仿宋_GB2312" w:hAnsi="微软雅黑" w:eastAsia="仿宋_GB2312" w:cs="仿宋_GB2312"/>
          <w:b/>
          <w:sz w:val="31"/>
          <w:szCs w:val="31"/>
          <w:vertAlign w:val="baseline"/>
        </w:rPr>
        <w:t>（类）其他优抚支出（项）。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年初预算为0万元，支出决算为5.13万元，完成年初预算的0%。决算数大于小于预算数的主要原因：协警人员社保费支出。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13.</w:t>
      </w:r>
      <w:r>
        <w:rPr>
          <w:rFonts w:hint="eastAsia" w:ascii="宋体" w:hAnsi="宋体" w:eastAsia="宋体" w:cs="宋体"/>
          <w:sz w:val="24"/>
          <w:szCs w:val="24"/>
          <w:vertAlign w:val="baseline"/>
        </w:rPr>
        <w:t> </w:t>
      </w:r>
      <w:r>
        <w:rPr>
          <w:rFonts w:hint="default" w:ascii="仿宋_GB2312" w:hAnsi="微软雅黑" w:eastAsia="仿宋_GB2312" w:cs="仿宋_GB2312"/>
          <w:sz w:val="31"/>
          <w:szCs w:val="31"/>
          <w:vertAlign w:val="baseline"/>
        </w:rPr>
        <w:t>卫生健康支出</w:t>
      </w:r>
      <w:r>
        <w:rPr>
          <w:rFonts w:hint="default" w:ascii="仿宋_GB2312" w:hAnsi="微软雅黑" w:eastAsia="仿宋_GB2312" w:cs="仿宋_GB2312"/>
          <w:b/>
          <w:sz w:val="31"/>
          <w:szCs w:val="31"/>
          <w:vertAlign w:val="baseline"/>
        </w:rPr>
        <w:t>（类）行政事业单位医疗（款）行政单位医疗（项）。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年初预算为737.24万元，支出决算为357.77万元，完成年初预算的48.52%。决算数小于预算数的主要原因：退休人员医疗减少。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48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14.卫生健康支出</w:t>
      </w:r>
      <w:r>
        <w:rPr>
          <w:rFonts w:hint="default" w:ascii="仿宋_GB2312" w:hAnsi="微软雅黑" w:eastAsia="仿宋_GB2312" w:cs="仿宋_GB2312"/>
          <w:b/>
          <w:sz w:val="31"/>
          <w:szCs w:val="31"/>
          <w:vertAlign w:val="baseline"/>
        </w:rPr>
        <w:t>（类）行政事业单位医疗（款）事业单位医疗（项）。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年初预算为737.24万元，支出决算为2.42万元，完成年初预算的0.328%。决算数小于预算数的主要原因：退休人员医疗减少。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  15.</w:t>
      </w:r>
      <w:r>
        <w:rPr>
          <w:rFonts w:hint="eastAsia" w:ascii="宋体" w:hAnsi="宋体" w:eastAsia="宋体" w:cs="宋体"/>
          <w:sz w:val="24"/>
          <w:szCs w:val="24"/>
          <w:vertAlign w:val="baseline"/>
        </w:rPr>
        <w:t> </w:t>
      </w:r>
      <w:r>
        <w:rPr>
          <w:rFonts w:hint="default" w:ascii="仿宋_GB2312" w:hAnsi="微软雅黑" w:eastAsia="仿宋_GB2312" w:cs="仿宋_GB2312"/>
          <w:sz w:val="31"/>
          <w:szCs w:val="31"/>
          <w:vertAlign w:val="baseline"/>
        </w:rPr>
        <w:t>卫生健康支出</w:t>
      </w:r>
      <w:r>
        <w:rPr>
          <w:rFonts w:hint="default" w:ascii="仿宋_GB2312" w:hAnsi="微软雅黑" w:eastAsia="仿宋_GB2312" w:cs="仿宋_GB2312"/>
          <w:b/>
          <w:sz w:val="31"/>
          <w:szCs w:val="31"/>
          <w:vertAlign w:val="baseline"/>
        </w:rPr>
        <w:t>（类）行政事业单位医疗（款）公务员医疗补助（项）。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年初预算为737.24万元，支出决算为639.88万元，完成年初预算的86.80%。决算数小于预算数的主要原因：退休人员医疗减少。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  16.</w:t>
      </w:r>
      <w:r>
        <w:rPr>
          <w:rFonts w:hint="eastAsia" w:ascii="宋体" w:hAnsi="宋体" w:eastAsia="宋体" w:cs="宋体"/>
          <w:sz w:val="24"/>
          <w:szCs w:val="24"/>
          <w:vertAlign w:val="baseline"/>
        </w:rPr>
        <w:t> </w:t>
      </w:r>
      <w:r>
        <w:rPr>
          <w:rFonts w:hint="default" w:ascii="仿宋_GB2312" w:hAnsi="微软雅黑" w:eastAsia="仿宋_GB2312" w:cs="仿宋_GB2312"/>
          <w:sz w:val="31"/>
          <w:szCs w:val="31"/>
          <w:vertAlign w:val="baseline"/>
        </w:rPr>
        <w:t>城乡社区支出</w:t>
      </w:r>
      <w:r>
        <w:rPr>
          <w:rFonts w:hint="default" w:ascii="仿宋_GB2312" w:hAnsi="微软雅黑" w:eastAsia="仿宋_GB2312" w:cs="仿宋_GB2312"/>
          <w:b/>
          <w:sz w:val="31"/>
          <w:szCs w:val="31"/>
          <w:vertAlign w:val="baseline"/>
        </w:rPr>
        <w:t>（类）城乡社区环境卫生城乡（款）社区环境卫生城乡社区环境卫生（项）。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年初预算为0万元，支出决算为481.87万元，完成年初预算的0%。决算数大于预算数的主要原因：没有基础设施。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17.</w:t>
      </w:r>
      <w:r>
        <w:rPr>
          <w:rFonts w:hint="eastAsia" w:ascii="宋体" w:hAnsi="宋体" w:eastAsia="宋体" w:cs="宋体"/>
          <w:sz w:val="24"/>
          <w:szCs w:val="24"/>
          <w:vertAlign w:val="baseline"/>
        </w:rPr>
        <w:t> </w:t>
      </w:r>
      <w:r>
        <w:rPr>
          <w:rFonts w:hint="default" w:ascii="仿宋_GB2312" w:hAnsi="微软雅黑" w:eastAsia="仿宋_GB2312" w:cs="仿宋_GB2312"/>
          <w:sz w:val="31"/>
          <w:szCs w:val="31"/>
          <w:vertAlign w:val="baseline"/>
        </w:rPr>
        <w:t>城市基础设施配套费安排的支出</w:t>
      </w:r>
      <w:r>
        <w:rPr>
          <w:rFonts w:hint="default" w:ascii="仿宋_GB2312" w:hAnsi="微软雅黑" w:eastAsia="仿宋_GB2312" w:cs="仿宋_GB2312"/>
          <w:b/>
          <w:sz w:val="31"/>
          <w:szCs w:val="31"/>
          <w:vertAlign w:val="baseline"/>
        </w:rPr>
        <w:t>（类）城市公共设施（款）其他城市基础设施配套费安排的支出（项）。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年初预算为0万元，支出决算为332.47万元，完成年初预算的0%。决算数大于预算数的主要原因：没有基础设施。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48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18.</w:t>
      </w:r>
      <w:r>
        <w:rPr>
          <w:rFonts w:hint="eastAsia" w:ascii="宋体" w:hAnsi="宋体" w:eastAsia="宋体" w:cs="宋体"/>
          <w:sz w:val="24"/>
          <w:szCs w:val="24"/>
          <w:vertAlign w:val="baseline"/>
        </w:rPr>
        <w:t> </w:t>
      </w:r>
      <w:r>
        <w:rPr>
          <w:rFonts w:hint="default" w:ascii="仿宋_GB2312" w:hAnsi="微软雅黑" w:eastAsia="仿宋_GB2312" w:cs="仿宋_GB2312"/>
          <w:sz w:val="31"/>
          <w:szCs w:val="31"/>
          <w:vertAlign w:val="baseline"/>
        </w:rPr>
        <w:t>住房保障支出</w:t>
      </w:r>
      <w:r>
        <w:rPr>
          <w:rFonts w:hint="default" w:ascii="仿宋_GB2312" w:hAnsi="微软雅黑" w:eastAsia="仿宋_GB2312" w:cs="仿宋_GB2312"/>
          <w:b/>
          <w:sz w:val="31"/>
          <w:szCs w:val="31"/>
          <w:vertAlign w:val="baseline"/>
        </w:rPr>
        <w:t>（类）住房改革支出（款） 住房公积金（项）。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年初预算为569.69万元，支出决算为623.62万元，完成年初预算的109.47%。决算数大于预算数的主要原因：工资增加。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3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2019年度财政拨款基本支出10299.5万元，其中：人员经费8,816.50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871.16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3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七、政府性基金预算财政拨款收入支出决算情况说明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（一）2019年度政府性基金预算财政拨款收入332.47万元，主要是和乐派出所及五小工程周转房（什么钱），较2018年度减少3383.24万元，下降91.05%。主要原因：项目减少。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（二）2019年度政府性基金预算财政拨款支出332.47万元，较2018年度减少3383.24万元，下降91.05%。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（三）2019年度政府性基金预算财政拨款支出年初预算为724万元，支出决算为332.47万元，完成年初预算的45.92%。其中：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1.</w:t>
      </w:r>
      <w:r>
        <w:rPr>
          <w:rFonts w:hint="eastAsia" w:ascii="宋体" w:hAnsi="宋体" w:eastAsia="宋体" w:cs="宋体"/>
          <w:sz w:val="24"/>
          <w:szCs w:val="24"/>
          <w:vertAlign w:val="baseline"/>
        </w:rPr>
        <w:t> </w:t>
      </w:r>
      <w:r>
        <w:rPr>
          <w:rFonts w:hint="default" w:ascii="仿宋_GB2312" w:hAnsi="微软雅黑" w:eastAsia="仿宋_GB2312" w:cs="仿宋_GB2312"/>
          <w:sz w:val="31"/>
          <w:szCs w:val="31"/>
          <w:vertAlign w:val="baseline"/>
        </w:rPr>
        <w:t>城乡社区支出</w:t>
      </w:r>
      <w:r>
        <w:rPr>
          <w:rFonts w:hint="default" w:ascii="仿宋_GB2312" w:hAnsi="微软雅黑" w:eastAsia="仿宋_GB2312" w:cs="仿宋_GB2312"/>
          <w:b/>
          <w:sz w:val="31"/>
          <w:szCs w:val="31"/>
          <w:vertAlign w:val="baseline"/>
        </w:rPr>
        <w:t>（类）</w:t>
      </w:r>
      <w:r>
        <w:rPr>
          <w:rFonts w:hint="default" w:ascii="仿宋_GB2312" w:hAnsi="微软雅黑" w:eastAsia="仿宋_GB2312" w:cs="仿宋_GB2312"/>
          <w:sz w:val="31"/>
          <w:szCs w:val="31"/>
          <w:vertAlign w:val="baseline"/>
        </w:rPr>
        <w:t>国有土地使用权出让收入及对应专项债务收入安排的支出</w:t>
      </w:r>
      <w:r>
        <w:rPr>
          <w:rFonts w:hint="default" w:ascii="仿宋_GB2312" w:hAnsi="微软雅黑" w:eastAsia="仿宋_GB2312" w:cs="仿宋_GB2312"/>
          <w:b/>
          <w:sz w:val="31"/>
          <w:szCs w:val="31"/>
          <w:vertAlign w:val="baseline"/>
        </w:rPr>
        <w:t>（款）</w:t>
      </w:r>
      <w:r>
        <w:rPr>
          <w:rFonts w:hint="default" w:ascii="仿宋_GB2312" w:hAnsi="微软雅黑" w:eastAsia="仿宋_GB2312" w:cs="仿宋_GB2312"/>
          <w:sz w:val="31"/>
          <w:szCs w:val="31"/>
          <w:vertAlign w:val="baseline"/>
        </w:rPr>
        <w:t>征地和拆迁补偿支出</w:t>
      </w:r>
      <w:r>
        <w:rPr>
          <w:rFonts w:hint="default" w:ascii="仿宋_GB2312" w:hAnsi="微软雅黑" w:eastAsia="仿宋_GB2312" w:cs="仿宋_GB2312"/>
          <w:b/>
          <w:sz w:val="31"/>
          <w:szCs w:val="31"/>
          <w:vertAlign w:val="baseline"/>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    年初预算为1,274.00万元，支出决算为332.47万元，完成年初预算的26.09%。决算数小于预算数的主要原因：项目工程跨年度。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   2、城市基础设施配套费安排的支出</w:t>
      </w:r>
      <w:r>
        <w:rPr>
          <w:rFonts w:hint="default" w:ascii="仿宋_GB2312" w:hAnsi="微软雅黑" w:eastAsia="仿宋_GB2312" w:cs="仿宋_GB2312"/>
          <w:b/>
          <w:sz w:val="31"/>
          <w:szCs w:val="31"/>
          <w:vertAlign w:val="baseline"/>
        </w:rPr>
        <w:t>（项）城市公共设施（项）其他城市基础设施配套费安排的支出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31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年初预算为550万元，支出决算为332.47万元，完成年初预算的60.50%。决算数小于预算数的主要原因：工程没有完成结算。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3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八、一般公共预算财政拨款“三公”经费支出决算情况说明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b/>
          <w:sz w:val="31"/>
          <w:szCs w:val="31"/>
          <w:vertAlign w:val="baseline"/>
        </w:rPr>
        <w:t>（一）一般公共预算财政拨款“三公”经费支出决算总体情况说明。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    2019年度一般公共预算财政拨款</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三公</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经费支出预算为211.61万元，支出决算为199.67万元，完成预算的94%。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eastAsia" w:ascii="楷体" w:hAnsi="楷体" w:eastAsia="楷体" w:cs="楷体"/>
          <w:b/>
          <w:sz w:val="31"/>
          <w:szCs w:val="31"/>
          <w:vertAlign w:val="baseline"/>
        </w:rPr>
        <w:t>    （二）一般公共预算“三公”经费财政拨款支出决算具体情况说明。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2019年度一般公共预算财政拨款</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三公</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经费支出决算中，因公出国（境）费支出决算0.00万元，占0%；公务用车购置及运行费支出决算196.46万元，占93%；公务接待费支出决算4万元，占7%。具体情况如下：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b/>
          <w:sz w:val="31"/>
          <w:szCs w:val="31"/>
          <w:vertAlign w:val="baseline"/>
        </w:rPr>
        <w:t>1.因公出国（境）费</w:t>
      </w:r>
      <w:r>
        <w:rPr>
          <w:rFonts w:hint="default" w:ascii="仿宋_GB2312" w:hAnsi="微软雅黑" w:eastAsia="仿宋_GB2312" w:cs="仿宋_GB2312"/>
          <w:sz w:val="31"/>
          <w:szCs w:val="31"/>
          <w:vertAlign w:val="baseline"/>
        </w:rPr>
        <w:t>支出0.00万元。全年安排因公出国（境）团组0个，因公出国（境）0人次。开支内容包括：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0支出万元。主要用于</w:t>
      </w:r>
      <w:r>
        <w:rPr>
          <w:rFonts w:hint="default" w:ascii="ˎ̥" w:hAnsi="ˎ̥" w:eastAsia="ˎ̥" w:cs="ˎ̥"/>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0支出万元。主要用于</w:t>
      </w:r>
      <w:r>
        <w:rPr>
          <w:rFonts w:hint="default" w:ascii="ˎ̥" w:hAnsi="ˎ̥" w:eastAsia="ˎ̥" w:cs="ˎ̥"/>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因公出国（境）费支出决算比预算数增加（减少）0万元，增长（下降）0%。主要原因是</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b/>
          <w:sz w:val="31"/>
          <w:szCs w:val="31"/>
          <w:vertAlign w:val="baseline"/>
        </w:rPr>
        <w:t>    2.公务用车购置及运行费支出</w:t>
      </w:r>
      <w:r>
        <w:rPr>
          <w:rFonts w:hint="default" w:ascii="仿宋_GB2312" w:hAnsi="微软雅黑" w:eastAsia="仿宋_GB2312" w:cs="仿宋_GB2312"/>
          <w:sz w:val="31"/>
          <w:szCs w:val="31"/>
          <w:vertAlign w:val="baseline"/>
        </w:rPr>
        <w:t>196.46万元。其中：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b/>
          <w:sz w:val="31"/>
          <w:szCs w:val="31"/>
          <w:vertAlign w:val="baseline"/>
        </w:rPr>
        <w:t>公务用车购置支出</w:t>
      </w:r>
      <w:r>
        <w:rPr>
          <w:rFonts w:hint="default" w:ascii="仿宋_GB2312" w:hAnsi="微软雅黑" w:eastAsia="仿宋_GB2312" w:cs="仿宋_GB2312"/>
          <w:sz w:val="31"/>
          <w:szCs w:val="31"/>
          <w:vertAlign w:val="baseline"/>
        </w:rPr>
        <w:t>0.00万元，全年购置公务用车78辆，主要用于</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，年末公务用车保有量78辆。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b/>
          <w:sz w:val="31"/>
          <w:szCs w:val="31"/>
          <w:vertAlign w:val="baseline"/>
        </w:rPr>
        <w:t>公务用车运行维护费</w:t>
      </w:r>
      <w:r>
        <w:rPr>
          <w:rFonts w:hint="default" w:ascii="仿宋_GB2312" w:hAnsi="微软雅黑" w:eastAsia="仿宋_GB2312" w:cs="仿宋_GB2312"/>
          <w:sz w:val="31"/>
          <w:szCs w:val="31"/>
          <w:vertAlign w:val="baseline"/>
        </w:rPr>
        <w:t>支出196.46万元，主要用于车辆购置费、车辆维修费。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公务用车购置及运行费支出决算比预算数（减少）3.54万元，下降1.77%。主要原因是油料、修理减少。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b/>
          <w:sz w:val="31"/>
          <w:szCs w:val="31"/>
          <w:vertAlign w:val="baseline"/>
        </w:rPr>
        <w:t>    3.公务接待费支出</w:t>
      </w:r>
      <w:r>
        <w:rPr>
          <w:rFonts w:hint="default" w:ascii="仿宋_GB2312" w:hAnsi="微软雅黑" w:eastAsia="仿宋_GB2312" w:cs="仿宋_GB2312"/>
          <w:sz w:val="31"/>
          <w:szCs w:val="31"/>
          <w:vertAlign w:val="baseline"/>
        </w:rPr>
        <w:t>3.21万元，其中：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公务接待费支出决算比预算数增加2.24万元，增长</w:t>
      </w:r>
      <w:r>
        <w:rPr>
          <w:rFonts w:hint="eastAsia" w:ascii="仿宋_GB2312" w:hAnsi="微软雅黑" w:eastAsia="仿宋_GB2312" w:cs="仿宋_GB2312"/>
          <w:sz w:val="31"/>
          <w:szCs w:val="31"/>
          <w:vertAlign w:val="baseline"/>
          <w:lang w:val="en-US" w:eastAsia="zh-CN"/>
        </w:rPr>
        <w:t>130.93</w:t>
      </w:r>
      <w:r>
        <w:rPr>
          <w:rFonts w:hint="default" w:ascii="仿宋_GB2312" w:hAnsi="微软雅黑" w:eastAsia="仿宋_GB2312" w:cs="仿宋_GB2312"/>
          <w:sz w:val="31"/>
          <w:szCs w:val="31"/>
          <w:vertAlign w:val="baseline"/>
        </w:rPr>
        <w:t>%</w:t>
      </w:r>
      <w:r>
        <w:rPr>
          <w:rFonts w:hint="eastAsia" w:ascii="仿宋_GB2312" w:hAnsi="微软雅黑" w:eastAsia="仿宋_GB2312" w:cs="仿宋_GB2312"/>
          <w:sz w:val="31"/>
          <w:szCs w:val="31"/>
          <w:vertAlign w:val="baseline"/>
          <w:lang w:eastAsia="zh-CN"/>
        </w:rPr>
        <w:t>。</w:t>
      </w:r>
      <w:r>
        <w:rPr>
          <w:rFonts w:hint="default" w:ascii="仿宋_GB2312" w:hAnsi="微软雅黑" w:eastAsia="仿宋_GB2312" w:cs="仿宋_GB2312"/>
          <w:sz w:val="31"/>
          <w:szCs w:val="31"/>
          <w:vertAlign w:val="baseline"/>
        </w:rPr>
        <w:t>主要原因是接待检查组</w:t>
      </w:r>
      <w:r>
        <w:rPr>
          <w:rFonts w:hint="eastAsia" w:ascii="仿宋_GB2312" w:hAnsi="微软雅黑" w:eastAsia="仿宋_GB2312" w:cs="仿宋_GB2312"/>
          <w:sz w:val="31"/>
          <w:szCs w:val="31"/>
          <w:vertAlign w:val="baseline"/>
          <w:lang w:eastAsia="zh-CN"/>
        </w:rPr>
        <w:t>次数增多</w:t>
      </w:r>
      <w:r>
        <w:rPr>
          <w:rFonts w:hint="default" w:ascii="仿宋_GB2312" w:hAnsi="微软雅黑" w:eastAsia="仿宋_GB2312" w:cs="仿宋_GB2312"/>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b/>
          <w:sz w:val="31"/>
          <w:szCs w:val="31"/>
          <w:vertAlign w:val="baseline"/>
        </w:rPr>
        <w:t>国内接待费</w:t>
      </w:r>
      <w:r>
        <w:rPr>
          <w:rFonts w:hint="default" w:ascii="仿宋_GB2312" w:hAnsi="微软雅黑" w:eastAsia="仿宋_GB2312" w:cs="仿宋_GB2312"/>
          <w:sz w:val="31"/>
          <w:szCs w:val="31"/>
          <w:vertAlign w:val="baseline"/>
        </w:rPr>
        <w:t>支出</w:t>
      </w:r>
      <w:r>
        <w:rPr>
          <w:rFonts w:hint="eastAsia" w:ascii="仿宋_GB2312" w:hAnsi="微软雅黑" w:eastAsia="仿宋_GB2312" w:cs="仿宋_GB2312"/>
          <w:sz w:val="31"/>
          <w:szCs w:val="31"/>
          <w:vertAlign w:val="baseline"/>
          <w:lang w:val="en-US" w:eastAsia="zh-CN"/>
        </w:rPr>
        <w:t>3.21</w:t>
      </w:r>
      <w:r>
        <w:rPr>
          <w:rFonts w:hint="default" w:ascii="仿宋_GB2312" w:hAnsi="微软雅黑" w:eastAsia="仿宋_GB2312" w:cs="仿宋_GB2312"/>
          <w:sz w:val="31"/>
          <w:szCs w:val="31"/>
          <w:vertAlign w:val="baseline"/>
        </w:rPr>
        <w:t>万元，国内公务接待</w:t>
      </w:r>
      <w:r>
        <w:rPr>
          <w:rFonts w:hint="eastAsia" w:ascii="仿宋_GB2312" w:hAnsi="微软雅黑" w:eastAsia="仿宋_GB2312" w:cs="仿宋_GB2312"/>
          <w:sz w:val="31"/>
          <w:szCs w:val="31"/>
          <w:vertAlign w:val="baseline"/>
          <w:lang w:val="en-US" w:eastAsia="zh-CN"/>
        </w:rPr>
        <w:t>26</w:t>
      </w:r>
      <w:r>
        <w:rPr>
          <w:rFonts w:hint="default" w:ascii="仿宋_GB2312" w:hAnsi="微软雅黑" w:eastAsia="仿宋_GB2312" w:cs="仿宋_GB2312"/>
          <w:sz w:val="31"/>
          <w:szCs w:val="31"/>
          <w:vertAlign w:val="baseline"/>
        </w:rPr>
        <w:t>批次，接待</w:t>
      </w:r>
      <w:r>
        <w:rPr>
          <w:rFonts w:hint="eastAsia" w:ascii="仿宋_GB2312" w:hAnsi="微软雅黑" w:eastAsia="仿宋_GB2312" w:cs="仿宋_GB2312"/>
          <w:sz w:val="31"/>
          <w:szCs w:val="31"/>
          <w:vertAlign w:val="baseline"/>
          <w:lang w:val="en-US" w:eastAsia="zh-CN"/>
        </w:rPr>
        <w:t>235</w:t>
      </w:r>
      <w:r>
        <w:rPr>
          <w:rFonts w:hint="default" w:ascii="仿宋_GB2312" w:hAnsi="微软雅黑" w:eastAsia="仿宋_GB2312" w:cs="仿宋_GB2312"/>
          <w:sz w:val="31"/>
          <w:szCs w:val="31"/>
          <w:vertAlign w:val="baseline"/>
        </w:rPr>
        <w:t>人次；主要用于接待检查组。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国（境）外接待费支出0万元，国（境）外公务接待0批次，接待0人次</w:t>
      </w:r>
      <w:r>
        <w:rPr>
          <w:rFonts w:hint="eastAsia" w:ascii="仿宋_GB2312" w:hAnsi="微软雅黑" w:eastAsia="仿宋_GB2312" w:cs="仿宋_GB2312"/>
          <w:sz w:val="31"/>
          <w:szCs w:val="31"/>
          <w:vertAlign w:val="baseline"/>
          <w:lang w:eastAsia="zh-CN"/>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30"/>
        <w:textAlignment w:val="baseline"/>
        <w:rPr>
          <w:rFonts w:hint="eastAsia" w:ascii="微软雅黑" w:hAnsi="微软雅黑" w:eastAsia="微软雅黑" w:cs="微软雅黑"/>
        </w:rPr>
      </w:pPr>
      <w:r>
        <w:rPr>
          <w:rFonts w:hint="eastAsia" w:ascii="黑体" w:hAnsi="宋体" w:eastAsia="黑体" w:cs="黑体"/>
          <w:sz w:val="31"/>
          <w:szCs w:val="31"/>
          <w:vertAlign w:val="baseline"/>
        </w:rPr>
        <w:t>九、政府性基金预算财政拨款“三公”经费支出决算情况说明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2019年度政府性基金预算财政拨款</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三公</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经费支出合计0.00万元。其中：因公出国（境）费支出决算0.00万元，占0%；公务用车购置及运行费支出决算0.00万元，占0%；公务接待费支出决算0.00万元，占0%。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十、预算绩效情况说明。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eastAsia" w:ascii="楷体" w:hAnsi="楷体" w:eastAsia="楷体" w:cs="楷体"/>
          <w:b/>
          <w:sz w:val="31"/>
          <w:szCs w:val="31"/>
          <w:vertAlign w:val="baseline"/>
        </w:rPr>
        <w:t>（一）绩效管理工作开展情况。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根据财政预算绩效管理要求，万宁市公安局组织对2019年度一般公共预算项目支出全面开展绩效自评。自评项目6个，共涉及资金1050万元，自评覆盖率达到70%。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万宁市公安局共组织对</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万宁市戒毒涉黑戒毒康复购买服务项目”等6个项目进行了重点绩效评价，涉及资金1050万元。从评价情况来看，</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（请对预算绩效评价情况进行简单说明）。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万宁市公安局开展整体支出绩效评价，涉及资金1050万元。从评价情况来看，</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（请对整体支出绩效评价情况进行简单说明）。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eastAsia" w:ascii="楷体" w:hAnsi="楷体" w:eastAsia="楷体" w:cs="楷体"/>
          <w:b/>
          <w:sz w:val="31"/>
          <w:szCs w:val="31"/>
          <w:vertAlign w:val="baseline"/>
        </w:rPr>
        <w:t>（二）部门决算中项目绩效自评结果。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万宁市戒毒涉黑戒毒康复购买服务项目自评得分为100分。发现的主要问题及原因：一是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。下一步改进措施：一是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公安局执法办案中心项目自评得分为50分。发现的主要问题及原因：一是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。下一步改进措施：一是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和乐派出所周转房五小工程项目自评得分为100分。发现的主要问题及原因：一是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。下一步改进措施：一是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户籍数字化服务项目项目自评得分为0分。发现的主要问题及原因：一是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。下一步改进措施：一是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立体化治安防控体系与防控系统二期项目自评得分为100分。发现的主要问题及原因：一是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。下一步改进措施：一是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戒毒康复中心安防系统办公家具购置项目自评得分为100分。发现的主要问题及原因：一是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。下一步改进措施：一是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；二是</w:t>
      </w:r>
      <w:r>
        <w:rPr>
          <w:rFonts w:hint="eastAsia" w:ascii="宋体" w:hAnsi="宋体" w:eastAsia="宋体" w:cs="宋体"/>
          <w:sz w:val="31"/>
          <w:szCs w:val="31"/>
          <w:vertAlign w:val="baseline"/>
        </w:rPr>
        <w:t>……</w:t>
      </w:r>
      <w:r>
        <w:rPr>
          <w:rFonts w:hint="default" w:ascii="仿宋_GB2312" w:hAnsi="微软雅黑" w:eastAsia="仿宋_GB2312" w:cs="仿宋_GB2312"/>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（至少公开1个重要的或典型的项目绩效自评情况，可当做本文档附件附后公开项目绩效自评结果及相关的项目支出绩效自评表》。）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eastAsia" w:ascii="楷体" w:hAnsi="楷体" w:eastAsia="楷体" w:cs="楷体"/>
          <w:b/>
          <w:sz w:val="31"/>
          <w:szCs w:val="31"/>
          <w:vertAlign w:val="baseline"/>
        </w:rPr>
        <w:t>（三）重点项目绩效评价情况（如有）。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eastAsia" w:ascii="楷体" w:hAnsi="楷体" w:eastAsia="楷体" w:cs="楷体"/>
          <w:b/>
          <w:sz w:val="31"/>
          <w:szCs w:val="31"/>
          <w:vertAlign w:val="baseline"/>
        </w:rPr>
        <w:t>（四）其他以部门为主体开展的项目绩效评价报告（如有）。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黑体" w:hAnsi="宋体" w:eastAsia="黑体" w:cs="黑体"/>
          <w:sz w:val="31"/>
          <w:szCs w:val="31"/>
          <w:vertAlign w:val="baseline"/>
        </w:rPr>
        <w:t>十一、其他重要事项情况说明。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b/>
          <w:sz w:val="31"/>
          <w:szCs w:val="31"/>
          <w:vertAlign w:val="baseline"/>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2019年度万宁市公安局机关运行经费537.52万元（为部门决算中行政单位和参公事业单位使用一般公共预算财政拨款安排的基本支出中的日常公用经费支出，事业单位没有机关运行经费支出），比年初预算增加119.57万元，增长22.25%。主要原因是：电费、其他交通费增加。（具体增减原因由部门根据实际情况填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机关运行经费预算数字可取自部门决算报表财决01-1表《财政拨款收入支出决算总表》(58行14列)单元格，即年初预算数-一般公共预算财政拨款-日常公用经费，注意因为是部门汇总公开决算，而事业单位没有机关运行经费支出，故部门汇总的机关运行经费预算数应为部门所属的各行政单位或参公单位的汇总数；决算数字可取自2019年度部门决算报表F03表《机关运行信息表》</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机关运行经费</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b/>
          <w:sz w:val="31"/>
          <w:szCs w:val="31"/>
          <w:vertAlign w:val="baseline"/>
        </w:rPr>
        <w:t>（二）政府采购支出情况。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2019年度万宁市公安局政府采购支出总额1086.78万元，其中：政府采购货物支出607.41万元、政府采购工程支出351.40万元、政府采购服务支出128万元。授予中小企业合同金额0万元，占政府采购支出总额的100%，其中：授予小微企业合同金额0万元，占政府采购支出总额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（上述政府采购支出相关数字取自2019年度部门决算报表F03表《机关运行信息表》，授予中小企业和小微企业合同金额由各部门查阅本部门相关财务资料填写。）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eastAsia" w:ascii="楷体" w:hAnsi="楷体" w:eastAsia="楷体" w:cs="楷体"/>
          <w:b/>
          <w:sz w:val="31"/>
          <w:szCs w:val="31"/>
          <w:vertAlign w:val="baseline"/>
        </w:rPr>
        <w:t>（三）国有资产占用情况。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截至2019年度12月31日，本部门占用房屋面积10800平方米，其中：办公用房10326平方米，业务用房474平方米，其他（不含构筑物）0平方米。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本部门共有车辆78辆，其中：从车辆种类说明：轿车24辆、越野车2辆、小型载客汽车7辆、大中型载客汽车1辆、其他用车44辆，其他用车主要是执法执勤；从车辆使用情况说明：副部（省）级及以上领导用车0辆、主要领导干部用车0辆、机要通信用车3辆、应急保障用车4辆、执法执勤用车60辆、特种专业技术用车8辆、离退休干部用车0辆、其他用车3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单位价值50万元（含）以上通用设备0台（套），单价100万元（含）以上专用设备0台（套）。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年末在建工程0万元。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（上述国有资产占用情况相关数字取自2019年度部门决算F01表《预算支出相关信息表》、F03表《机关运行信息表》。）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textAlignment w:val="baseline"/>
        <w:rPr>
          <w:rFonts w:hint="eastAsia" w:ascii="微软雅黑" w:hAnsi="微软雅黑" w:eastAsia="微软雅黑" w:cs="微软雅黑"/>
        </w:rPr>
      </w:pPr>
      <w:r>
        <w:rPr>
          <w:rFonts w:hint="eastAsia" w:ascii="黑体" w:hAnsi="宋体" w:eastAsia="黑体" w:cs="黑体"/>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一、财政拨款收入：指本级财政当年拨付的资金。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二、事业收入：指事业单位开展专业业务活动及辅助活动取得的收入。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三、经营收入：指事业单位在专业业务活动及其辅助活动之外开展非独立核算经营活动取得的收入。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四、其他收入：指除上述</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财政拨款收入</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事业收入</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经营收入</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五、用事业基金弥补收支差额：指事业单位在当年的</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财政拨款收入</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事业收入</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经营收入</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其他收入</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六、年初结转和结余：指以前年度尚未完成、结转到本年按有关规定继续使用的资金。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七、结余分配：指事业单位按规定提取的职工福利基金、事业基金和缴纳的所得税，以及建设单位按规定应交回的基本建设竣工项目结余资金。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八、年末结转和结余：指本年度或以前年度预算安排、因客观条件发生变化无法按原计划实施，需要延迟到以后年度按有关规定继续使用的资金。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九、基本支出：指为保障机构正常运转、完成日常工作任务而发生的人员支出和公用支出。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十、项目支出：指在基本支出之外为完成特定行政任务和事业发展目标所发生的支出。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十一、经营支出：指事业单位在专业业务活动及其辅助活动之外开展非独立核算经营活动发生的支出。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十二、</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三公</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经费：纳入本级财政预决算管理的</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三公</w:t>
      </w:r>
      <w:r>
        <w:rPr>
          <w:rFonts w:hint="default" w:ascii="ˎ̥" w:hAnsi="ˎ̥" w:eastAsia="ˎ̥" w:cs="ˎ̥"/>
          <w:sz w:val="31"/>
          <w:szCs w:val="31"/>
          <w:vertAlign w:val="baseline"/>
        </w:rPr>
        <w:t>”</w:t>
      </w:r>
      <w:r>
        <w:rPr>
          <w:rFonts w:hint="default" w:ascii="仿宋_GB2312" w:hAnsi="微软雅黑" w:eastAsia="仿宋_GB2312" w:cs="仿宋_GB2312"/>
          <w:sz w:val="31"/>
          <w:szCs w:val="31"/>
          <w:vertAlign w:val="baseline"/>
        </w:rPr>
        <w:t>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5"/>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十四、（支出功能分类的名词解释，各部门（单位）根据实际支出情况填列，可参阅财政部印发的《2019年政府收支分类科目》）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textAlignment w:val="baseline"/>
        <w:rPr>
          <w:rFonts w:hint="eastAsia" w:ascii="微软雅黑" w:hAnsi="微软雅黑" w:eastAsia="微软雅黑" w:cs="微软雅黑"/>
        </w:rPr>
      </w:pPr>
      <w:r>
        <w:rPr>
          <w:rFonts w:hint="default" w:ascii="仿宋_GB2312" w:hAnsi="微软雅黑" w:eastAsia="仿宋_GB2312" w:cs="仿宋_GB2312"/>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9C212B9"/>
    <w:rsid w:val="72E0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2022-09-05T07:31:31Z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