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wordWrap/>
        <w:adjustRightInd/>
        <w:snapToGrid/>
        <w:spacing w:line="660" w:lineRule="exact"/>
        <w:jc w:val="center"/>
        <w:textAlignment w:val="auto"/>
        <w:rPr>
          <w:rFonts w:hint="eastAsia" w:ascii="方正小标宋简体" w:hAnsi="Times New Roman" w:eastAsia="方正小标宋简体" w:cs="Times New Roman"/>
          <w:color w:val="333333"/>
          <w:kern w:val="0"/>
          <w:sz w:val="44"/>
          <w:szCs w:val="44"/>
          <w:lang w:eastAsia="zh-CN"/>
        </w:rPr>
      </w:pPr>
      <w:r>
        <w:rPr>
          <w:rFonts w:hint="eastAsia" w:ascii="方正小标宋简体" w:hAnsi="Times New Roman" w:eastAsia="方正小标宋简体" w:cs="Times New Roman"/>
          <w:color w:val="333333"/>
          <w:kern w:val="0"/>
          <w:sz w:val="44"/>
          <w:szCs w:val="44"/>
          <w:lang w:eastAsia="zh-CN"/>
        </w:rPr>
        <w:t>万宁市公安局</w:t>
      </w:r>
    </w:p>
    <w:p>
      <w:pPr>
        <w:widowControl/>
        <w:shd w:val="clear" w:color="auto" w:fill="FFFFFF"/>
        <w:wordWrap/>
        <w:adjustRightInd/>
        <w:snapToGrid/>
        <w:spacing w:line="660" w:lineRule="exact"/>
        <w:jc w:val="center"/>
        <w:textAlignment w:val="auto"/>
        <w:rPr>
          <w:rFonts w:ascii="Times New Roman" w:hAnsi="Times New Roman" w:eastAsia="宋体" w:cs="Times New Roman"/>
          <w:color w:val="333333"/>
          <w:kern w:val="0"/>
          <w:sz w:val="24"/>
          <w:szCs w:val="24"/>
        </w:rPr>
      </w:pPr>
      <w:r>
        <w:rPr>
          <w:rFonts w:hint="eastAsia" w:ascii="方正小标宋简体" w:hAnsi="Times New Roman" w:eastAsia="方正小标宋简体" w:cs="Times New Roman"/>
          <w:color w:val="333333"/>
          <w:kern w:val="0"/>
          <w:sz w:val="44"/>
          <w:szCs w:val="44"/>
          <w:shd w:val="clear" w:color="auto" w:fill="FFFFFF"/>
        </w:rPr>
        <w:t>20</w:t>
      </w:r>
      <w:r>
        <w:rPr>
          <w:rFonts w:ascii="方正小标宋简体" w:hAnsi="Times New Roman" w:eastAsia="方正小标宋简体" w:cs="Times New Roman"/>
          <w:color w:val="333333"/>
          <w:kern w:val="0"/>
          <w:sz w:val="44"/>
          <w:szCs w:val="44"/>
          <w:shd w:val="clear" w:color="auto" w:fill="FFFFFF"/>
        </w:rPr>
        <w:t>20</w:t>
      </w:r>
      <w:r>
        <w:rPr>
          <w:rFonts w:hint="eastAsia" w:ascii="方正小标宋简体" w:hAnsi="Times New Roman" w:eastAsia="方正小标宋简体" w:cs="Times New Roman"/>
          <w:color w:val="333333"/>
          <w:kern w:val="0"/>
          <w:sz w:val="44"/>
          <w:szCs w:val="44"/>
          <w:shd w:val="clear" w:color="auto" w:fill="FFFFFF"/>
        </w:rPr>
        <w:t>年政府信息公开工作年度报告</w:t>
      </w:r>
    </w:p>
    <w:p>
      <w:pPr>
        <w:widowControl/>
        <w:shd w:val="clear" w:color="auto" w:fill="FFFFFF"/>
        <w:spacing w:line="560" w:lineRule="atLeast"/>
        <w:ind w:firstLine="640"/>
        <w:rPr>
          <w:rFonts w:ascii="Times New Roman" w:hAnsi="Times New Roman" w:eastAsia="宋体" w:cs="Times New Roman"/>
          <w:color w:val="333333"/>
          <w:kern w:val="0"/>
          <w:sz w:val="24"/>
          <w:szCs w:val="24"/>
        </w:rPr>
      </w:pPr>
      <w:r>
        <w:rPr>
          <w:rFonts w:hint="eastAsia" w:ascii="瀹嬩綋" w:hAnsi="Times New Roman" w:eastAsia="瀹嬩綋" w:cs="Times New Roman"/>
          <w:color w:val="333333"/>
          <w:kern w:val="0"/>
          <w:sz w:val="24"/>
          <w:szCs w:val="24"/>
          <w:shd w:val="clear" w:color="auto" w:fill="FFFFFF"/>
        </w:rPr>
        <w:t> </w:t>
      </w:r>
    </w:p>
    <w:p>
      <w:pPr>
        <w:widowControl/>
        <w:numPr>
          <w:ilvl w:val="0"/>
          <w:numId w:val="1"/>
        </w:numPr>
        <w:shd w:val="clear" w:color="auto" w:fill="FFFFFF"/>
        <w:spacing w:line="560" w:lineRule="atLeast"/>
        <w:ind w:firstLine="640"/>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总体情况</w:t>
      </w:r>
    </w:p>
    <w:p>
      <w:pPr>
        <w:widowControl/>
        <w:numPr>
          <w:numId w:val="0"/>
        </w:numPr>
        <w:shd w:val="clear" w:color="auto" w:fill="FFFFFF"/>
        <w:spacing w:line="560" w:lineRule="atLeast"/>
        <w:rPr>
          <w:rFonts w:hint="eastAsia" w:ascii="仿宋" w:hAnsi="仿宋" w:eastAsia="仿宋" w:cs="仿宋"/>
          <w:color w:val="333333"/>
          <w:kern w:val="0"/>
          <w:sz w:val="32"/>
          <w:szCs w:val="32"/>
          <w:shd w:val="clear" w:color="auto" w:fill="FFFFFF"/>
          <w:lang w:val="en-US" w:eastAsia="zh-CN"/>
        </w:rPr>
      </w:pPr>
      <w:r>
        <w:rPr>
          <w:rFonts w:hint="eastAsia" w:ascii="黑体" w:hAnsi="黑体" w:eastAsia="黑体" w:cs="Times New Roman"/>
          <w:color w:val="333333"/>
          <w:kern w:val="0"/>
          <w:sz w:val="32"/>
          <w:szCs w:val="32"/>
          <w:shd w:val="clear" w:color="auto" w:fill="FFFFFF"/>
          <w:lang w:val="en-US" w:eastAsia="zh-CN"/>
        </w:rPr>
        <w:t xml:space="preserve">    </w:t>
      </w:r>
      <w:r>
        <w:rPr>
          <w:rFonts w:hint="eastAsia" w:ascii="仿宋" w:hAnsi="仿宋" w:eastAsia="仿宋" w:cs="仿宋"/>
          <w:color w:val="333333"/>
          <w:kern w:val="0"/>
          <w:sz w:val="32"/>
          <w:szCs w:val="32"/>
          <w:shd w:val="clear" w:color="auto" w:fill="FFFFFF"/>
          <w:lang w:val="en-US" w:eastAsia="zh-CN"/>
        </w:rPr>
        <w:t>2020年,万宁市公安局在市委、市政府和省公安厅的正确领导下，根据《中华人民共和国政府信息公开条例》、《国务院办公厅政府信息与政务公开办公室关于政府信息公开工作年度报告有关事项的通知》（国办公开函〔2019〕60号）规定，紧紧围绕公安重点难点及老百姓密切关注事项，加强信息公开审查，履行政府信息公开工作职责，创新公开载体，细化公开内容，完善公开机制，有力推进我局信息公开纵深开展。2020年，我局依托市政府信息公开网、平安万宁微信公众号、万宁公安头条号等新媒体，推进电子政务建设和网上政务公开。2020年，我局在市政府信息公开网共更新各类信息9篇（其中领导成员信息4篇、机构联系方式1篇、财政部门决算2篇、相关工作制度方案1篇、工作年度报告1篇）；通过微信公众号平安万宁发布信息动态1031条、万宁公安头条号520条。</w:t>
      </w:r>
    </w:p>
    <w:p>
      <w:pPr>
        <w:widowControl/>
        <w:shd w:val="clear" w:color="auto" w:fill="FFFFFF"/>
        <w:spacing w:line="560" w:lineRule="atLeast"/>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   </w:t>
      </w:r>
      <w:r>
        <w:rPr>
          <w:rFonts w:ascii="Calibri" w:hAnsi="Calibri" w:eastAsia="黑体" w:cs="Calibri"/>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二、主动公开政府信息情况</w:t>
      </w:r>
    </w:p>
    <w:p>
      <w:pPr>
        <w:widowControl/>
        <w:shd w:val="clear" w:color="auto" w:fill="FFFFFF"/>
        <w:spacing w:line="560" w:lineRule="atLeast"/>
        <w:rPr>
          <w:rFonts w:hint="eastAsia" w:ascii="黑体" w:hAnsi="黑体" w:eastAsia="黑体" w:cs="Times New Roman"/>
          <w:color w:val="333333"/>
          <w:kern w:val="0"/>
          <w:sz w:val="32"/>
          <w:szCs w:val="32"/>
          <w:shd w:val="clear" w:color="auto" w:fill="FFFFFF"/>
        </w:rPr>
      </w:pPr>
    </w:p>
    <w:tbl>
      <w:tblPr>
        <w:tblStyle w:val="8"/>
        <w:tblW w:w="92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07"/>
        <w:gridCol w:w="1431"/>
        <w:gridCol w:w="1348"/>
        <w:gridCol w:w="1771"/>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7457"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第二十条第（一）项</w:t>
            </w:r>
          </w:p>
        </w:tc>
        <w:tc>
          <w:tcPr>
            <w:tcW w:w="1764" w:type="dxa"/>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2"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r>
            <w:r>
              <w:rPr>
                <w:rFonts w:hint="eastAsia" w:ascii="宋体" w:hAnsi="宋体" w:eastAsia="宋体" w:cs="Times New Roman"/>
                <w:kern w:val="0"/>
                <w:sz w:val="20"/>
                <w:szCs w:val="20"/>
              </w:rPr>
              <w:t>制作数量</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本年新</w:t>
            </w:r>
            <w:r>
              <w:rPr>
                <w:rFonts w:hint="eastAsia" w:ascii="宋体" w:hAnsi="宋体" w:eastAsia="宋体" w:cs="Times New Roman"/>
                <w:color w:val="000000"/>
                <w:kern w:val="0"/>
                <w:sz w:val="20"/>
                <w:szCs w:val="20"/>
              </w:rPr>
              <w:br/>
            </w:r>
            <w:r>
              <w:rPr>
                <w:rFonts w:hint="eastAsia" w:ascii="宋体" w:hAnsi="宋体" w:eastAsia="宋体" w:cs="Times New Roman"/>
                <w:kern w:val="0"/>
                <w:sz w:val="20"/>
                <w:szCs w:val="20"/>
              </w:rPr>
              <w:t>公开数量</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对外公开总数量</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3"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规章</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规范性文件</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7457"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第二十条第（五）项</w:t>
            </w:r>
          </w:p>
        </w:tc>
        <w:tc>
          <w:tcPr>
            <w:tcW w:w="1764" w:type="dxa"/>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行政许可</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130</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-53</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4（2019年取缔1家，2020年停业整顿2家，取缔1家）；1(对一家违反运输烟花爆竹许可管理规定的茂兴烟花爆竹公司法人依法进行行政拘留并罚款10000元人民币)</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0"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其他对外管理服务事项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50149（其中办理户口迁入732条，户口迁出2850条，本地身份证41715条，临时身份证4852条，异地身份证365条）</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-1391</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atLeast"/>
          <w:jc w:val="center"/>
        </w:trPr>
        <w:tc>
          <w:tcPr>
            <w:tcW w:w="7457"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第二十条第（六）项</w:t>
            </w:r>
          </w:p>
        </w:tc>
        <w:tc>
          <w:tcPr>
            <w:tcW w:w="1764" w:type="dxa"/>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处理决定数量</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行政处罚</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1611</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+102</w:t>
            </w:r>
            <w:bookmarkStart w:id="0" w:name="_GoBack"/>
            <w:bookmarkEnd w:id="0"/>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1713</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行政强制</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1799</w:t>
            </w:r>
          </w:p>
        </w:tc>
        <w:tc>
          <w:tcPr>
            <w:tcW w:w="13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-126</w:t>
            </w:r>
          </w:p>
        </w:tc>
        <w:tc>
          <w:tcPr>
            <w:tcW w:w="17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1673</w:t>
            </w:r>
          </w:p>
        </w:tc>
        <w:tc>
          <w:tcPr>
            <w:tcW w:w="176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color w:val="000000"/>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jc w:val="center"/>
        </w:trPr>
        <w:tc>
          <w:tcPr>
            <w:tcW w:w="7457"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第二十条第（八）项</w:t>
            </w:r>
          </w:p>
        </w:tc>
        <w:tc>
          <w:tcPr>
            <w:tcW w:w="1764" w:type="dxa"/>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信息内容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上一年项目数量</w:t>
            </w:r>
          </w:p>
        </w:tc>
        <w:tc>
          <w:tcPr>
            <w:tcW w:w="311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本年增/减</w:t>
            </w:r>
          </w:p>
        </w:tc>
        <w:tc>
          <w:tcPr>
            <w:tcW w:w="1764" w:type="dxa"/>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行政事业性收费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311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764" w:type="dxa"/>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6" w:hRule="atLeast"/>
          <w:jc w:val="center"/>
        </w:trPr>
        <w:tc>
          <w:tcPr>
            <w:tcW w:w="7457"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第二十条第（九）项</w:t>
            </w:r>
          </w:p>
        </w:tc>
        <w:tc>
          <w:tcPr>
            <w:tcW w:w="1764" w:type="dxa"/>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hint="eastAsia" w:ascii="宋体" w:hAnsi="宋体" w:eastAsia="宋体"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信息内容</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采购项目数量</w:t>
            </w:r>
          </w:p>
        </w:tc>
        <w:tc>
          <w:tcPr>
            <w:tcW w:w="311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采购总金额</w:t>
            </w:r>
          </w:p>
        </w:tc>
        <w:tc>
          <w:tcPr>
            <w:tcW w:w="1764" w:type="dxa"/>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29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政府集中采购</w:t>
            </w:r>
          </w:p>
        </w:tc>
        <w:tc>
          <w:tcPr>
            <w:tcW w:w="14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311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764" w:type="dxa"/>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p>
        </w:tc>
      </w:tr>
    </w:tbl>
    <w:p>
      <w:pPr>
        <w:widowControl/>
        <w:shd w:val="clear" w:color="auto" w:fill="FFFFFF"/>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 </w:t>
      </w:r>
    </w:p>
    <w:p>
      <w:pPr>
        <w:widowControl/>
        <w:shd w:val="clear" w:color="auto" w:fill="FFFFFF"/>
        <w:rPr>
          <w:rFonts w:ascii="Times New Roman" w:hAnsi="Times New Roman" w:eastAsia="宋体" w:cs="Times New Roman"/>
          <w:color w:val="333333"/>
          <w:kern w:val="0"/>
          <w:szCs w:val="21"/>
        </w:rPr>
      </w:pPr>
      <w:r>
        <w:rPr>
          <w:rFonts w:hint="eastAsia" w:ascii="宋体" w:hAnsi="宋体" w:eastAsia="宋体" w:cs="Times New Roman"/>
          <w:color w:val="333333"/>
          <w:kern w:val="0"/>
          <w:sz w:val="24"/>
          <w:szCs w:val="24"/>
        </w:rPr>
        <w:t> </w:t>
      </w:r>
      <w:r>
        <w:rPr>
          <w:rFonts w:hint="eastAsia" w:ascii="宋体" w:hAnsi="宋体" w:eastAsia="宋体" w:cs="Times New Roman"/>
          <w:color w:val="333333"/>
          <w:kern w:val="0"/>
          <w:sz w:val="24"/>
          <w:szCs w:val="24"/>
          <w:lang w:val="en-US" w:eastAsia="zh-CN"/>
        </w:rPr>
        <w:t xml:space="preserve">  </w:t>
      </w:r>
      <w:r>
        <w:rPr>
          <w:rFonts w:hint="eastAsia" w:ascii="黑体" w:hAnsi="黑体" w:eastAsia="黑体" w:cs="Times New Roman"/>
          <w:color w:val="333333"/>
          <w:kern w:val="0"/>
          <w:sz w:val="32"/>
          <w:szCs w:val="32"/>
        </w:rPr>
        <w:t>三、收到和处理政府信息公开申请情况</w:t>
      </w:r>
    </w:p>
    <w:tbl>
      <w:tblPr>
        <w:tblStyle w:val="8"/>
        <w:tblW w:w="8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847"/>
        <w:gridCol w:w="1936"/>
        <w:gridCol w:w="606"/>
        <w:gridCol w:w="690"/>
        <w:gridCol w:w="690"/>
        <w:gridCol w:w="737"/>
        <w:gridCol w:w="867"/>
        <w:gridCol w:w="655"/>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（本列数据的勾稽关系为：第一项加第二项之和，等于第三项加第四项之和）</w:t>
            </w:r>
          </w:p>
        </w:tc>
        <w:tc>
          <w:tcPr>
            <w:tcW w:w="488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0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自然人</w:t>
            </w:r>
          </w:p>
        </w:tc>
        <w:tc>
          <w:tcPr>
            <w:tcW w:w="363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法人或其他组织</w:t>
            </w:r>
          </w:p>
        </w:tc>
        <w:tc>
          <w:tcPr>
            <w:tcW w:w="64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06"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商业企业</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科研机构</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社会公益组织</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法律服务机构</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w:t>
            </w:r>
          </w:p>
        </w:tc>
        <w:tc>
          <w:tcPr>
            <w:tcW w:w="641"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一、本年新收政府信息公开申请数量</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二、上年结转政府信息公开申请数量</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三、本年度办理结果</w:t>
            </w: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（五）不予处理</w:t>
            </w: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1.信访举报投诉类申请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2.重复申请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3.要求提供公开出版物</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4.无正当理由大量反复申请</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84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1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5.要求行政机关确认或重新出具已获取信息</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（六）其他处理</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27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楷体" w:hAnsi="楷体" w:eastAsia="楷体" w:cs="Times New Roman"/>
                <w:kern w:val="0"/>
                <w:sz w:val="20"/>
                <w:szCs w:val="20"/>
              </w:rPr>
              <w:t>（七）总计</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4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 w:val="20"/>
                <w:szCs w:val="20"/>
              </w:rPr>
              <w:t>四、结转下年度继续办理</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8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c>
          <w:tcPr>
            <w:tcW w:w="6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0</w:t>
            </w:r>
          </w:p>
        </w:tc>
      </w:tr>
    </w:tbl>
    <w:p>
      <w:pPr>
        <w:widowControl/>
        <w:shd w:val="clear" w:color="auto" w:fill="FFFFFF"/>
        <w:rPr>
          <w:rFonts w:ascii="Times New Roman" w:hAnsi="Times New Roman" w:eastAsia="宋体" w:cs="Times New Roman"/>
          <w:color w:val="333333"/>
          <w:kern w:val="0"/>
          <w:szCs w:val="21"/>
        </w:rPr>
      </w:pPr>
    </w:p>
    <w:p>
      <w:pPr>
        <w:widowControl/>
        <w:shd w:val="clear" w:color="auto" w:fill="FFFFFF"/>
        <w:ind w:firstLine="480"/>
        <w:rPr>
          <w:rFonts w:ascii="Times New Roman" w:hAnsi="Times New Roman" w:eastAsia="宋体" w:cs="Times New Roman"/>
          <w:color w:val="333333"/>
          <w:kern w:val="0"/>
          <w:szCs w:val="21"/>
        </w:rPr>
      </w:pPr>
      <w:r>
        <w:rPr>
          <w:rFonts w:hint="eastAsia" w:ascii="黑体" w:hAnsi="黑体" w:eastAsia="黑体" w:cs="Times New Roman"/>
          <w:color w:val="333333"/>
          <w:kern w:val="0"/>
          <w:sz w:val="32"/>
          <w:szCs w:val="32"/>
        </w:rPr>
        <w:t>四、政府信息公开行政复议、行政诉讼情况</w:t>
      </w:r>
    </w:p>
    <w:tbl>
      <w:tblPr>
        <w:tblStyle w:val="8"/>
        <w:tblW w:w="828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1"/>
        <w:gridCol w:w="551"/>
        <w:gridCol w:w="551"/>
        <w:gridCol w:w="552"/>
        <w:gridCol w:w="591"/>
        <w:gridCol w:w="513"/>
        <w:gridCol w:w="553"/>
        <w:gridCol w:w="553"/>
        <w:gridCol w:w="553"/>
        <w:gridCol w:w="553"/>
        <w:gridCol w:w="553"/>
        <w:gridCol w:w="553"/>
        <w:gridCol w:w="553"/>
        <w:gridCol w:w="553"/>
        <w:gridCol w:w="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79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行政复议</w:t>
            </w:r>
          </w:p>
        </w:tc>
        <w:tc>
          <w:tcPr>
            <w:tcW w:w="5490"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5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55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9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总计</w:t>
            </w:r>
          </w:p>
        </w:tc>
        <w:tc>
          <w:tcPr>
            <w:tcW w:w="272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未经复议直接起诉</w:t>
            </w:r>
          </w:p>
        </w:tc>
        <w:tc>
          <w:tcPr>
            <w:tcW w:w="2765"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51"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51"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51"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52"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91"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eastAsia="宋体" w:cs="Times New Roman"/>
                <w:kern w:val="0"/>
                <w:szCs w:val="21"/>
              </w:rPr>
            </w:pPr>
          </w:p>
        </w:tc>
        <w:tc>
          <w:tcPr>
            <w:tcW w:w="5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其他结果</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结果维持</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结果纠正</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其他结果</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 w:val="20"/>
                <w:szCs w:val="20"/>
              </w:rPr>
              <w:t>尚未审结</w:t>
            </w:r>
          </w:p>
        </w:tc>
        <w:tc>
          <w:tcPr>
            <w:tcW w:w="55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51"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1"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1"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2"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91"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1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553" w:type="dxa"/>
            <w:tcBorders>
              <w:top w:val="nil"/>
              <w:left w:val="nil"/>
              <w:bottom w:val="nil"/>
              <w:right w:val="single" w:color="auto" w:sz="8" w:space="0"/>
            </w:tcBorders>
            <w:tcMar>
              <w:top w:w="0" w:type="dxa"/>
              <w:left w:w="108" w:type="dxa"/>
              <w:bottom w:w="0" w:type="dxa"/>
              <w:right w:w="108" w:type="dxa"/>
            </w:tcMar>
            <w:vAlign w:val="center"/>
          </w:tcPr>
          <w:p>
            <w:pPr>
              <w:widowControl/>
              <w:jc w:val="left"/>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bl>
    <w:p>
      <w:pPr>
        <w:widowControl/>
        <w:shd w:val="clear" w:color="auto" w:fill="FFFFFF"/>
        <w:spacing w:line="560" w:lineRule="atLeast"/>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  </w:t>
      </w:r>
      <w:r>
        <w:rPr>
          <w:rFonts w:hint="eastAsia" w:ascii="宋体" w:hAnsi="宋体" w:eastAsia="宋体" w:cs="Times New Roman"/>
          <w:color w:val="333333"/>
          <w:kern w:val="0"/>
          <w:sz w:val="32"/>
          <w:szCs w:val="32"/>
          <w:shd w:val="clear" w:color="auto" w:fill="FFFFFF"/>
        </w:rPr>
        <w:t> </w:t>
      </w:r>
      <w:r>
        <w:rPr>
          <w:rFonts w:hint="eastAsia" w:ascii="黑体" w:hAnsi="黑体" w:eastAsia="黑体" w:cs="Times New Roman"/>
          <w:color w:val="333333"/>
          <w:kern w:val="0"/>
          <w:sz w:val="32"/>
          <w:szCs w:val="32"/>
          <w:shd w:val="clear" w:color="auto" w:fill="FFFFFF"/>
        </w:rPr>
        <w:t>五、工作中存在的主要问题和改进情况</w:t>
      </w:r>
    </w:p>
    <w:p>
      <w:pPr>
        <w:widowControl/>
        <w:shd w:val="clear" w:color="auto" w:fill="FFFFFF"/>
        <w:wordWrap/>
        <w:adjustRightInd/>
        <w:snapToGrid/>
        <w:spacing w:line="48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一是局机关各所队室对于政务信息公开重视程度不够，提供的相关信息存在不及时、不全面的情况，影响了政务信息公开工作的推进；二是政务公开工作精细化不够。在贯彻落实政务公开工作时，对上级要求理解不深入，存在不及时，对于政务信息公开的内容把关不够严。</w:t>
      </w:r>
    </w:p>
    <w:p>
      <w:pPr>
        <w:widowControl/>
        <w:shd w:val="clear" w:color="auto" w:fill="FFFFFF"/>
        <w:wordWrap/>
        <w:adjustRightInd/>
        <w:snapToGrid/>
        <w:spacing w:line="480" w:lineRule="exact"/>
        <w:ind w:firstLine="640" w:firstLineChars="200"/>
        <w:textAlignment w:val="auto"/>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下一步，我局将进一步加强思想认识，充分认识到政府信息公开工作的重要性，加强组织领导，把政府信息公开工作作为一项长期工作来抓，明确工作职责，落实主体责任到人，定期开展自查自纠，抓实抓细，确保政府信息公开各项工作措施落到实处。进一步完善工作机制，不断完善政府信息公开工作制度，明确工作运转流程，确保信息报送渠道畅通，落实审批手续，严格核稿工作，确保应公开信息及时、权威、有效公开，切实做到制度完备、工作长效。加强公开内容的丰富性，多渠道加强政府信息公开力度，及时、有针对性的发布政策解读、规范性文件等关于民生方面信息，加强便民、利民等社会关注的事项信息公布。加大政府信息公开宣传力度，努力提高公众对政府信息公开工作的知晓率，重视利用政府信息公开网站及时发布、主动更新政府信息，提供更及时更准确的信息服务。</w:t>
      </w:r>
    </w:p>
    <w:p>
      <w:pPr>
        <w:widowControl/>
        <w:shd w:val="clear" w:color="auto" w:fill="FFFFFF"/>
        <w:wordWrap/>
        <w:adjustRightInd/>
        <w:snapToGrid/>
        <w:spacing w:line="480" w:lineRule="exact"/>
        <w:ind w:firstLine="640" w:firstLineChars="200"/>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六、其他需要报告的事项</w:t>
      </w:r>
    </w:p>
    <w:p>
      <w:pPr>
        <w:widowControl/>
        <w:shd w:val="clear" w:color="auto" w:fill="FFFFFF"/>
        <w:wordWrap/>
        <w:adjustRightInd/>
        <w:snapToGrid/>
        <w:spacing w:line="480" w:lineRule="exact"/>
        <w:textAlignment w:val="auto"/>
        <w:rPr>
          <w:rFonts w:ascii="Times New Roman" w:hAnsi="Times New Roman" w:eastAsia="宋体" w:cs="Times New Roman"/>
          <w:color w:val="333333"/>
          <w:kern w:val="0"/>
          <w:sz w:val="24"/>
          <w:szCs w:val="24"/>
        </w:rPr>
      </w:pPr>
      <w:r>
        <w:rPr>
          <w:rFonts w:hint="eastAsia" w:ascii="黑体" w:hAnsi="黑体" w:eastAsia="黑体" w:cs="Times New Roman"/>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lang w:val="en-US" w:eastAsia="zh-CN"/>
        </w:rPr>
        <w:t>我局深入推进公安“放管服”改革。全面对接落实省公安厅深化公安“放管服”改革措施，简化公安行政审批手续，缩短行政审批时限，着力打造“一窗受理、集成服务”、“只进一扇门、办结所有事”的“一门通办”模式，推行“预约办理”和“不见面审批”，目前已建设15个警务便民服务站，2个24小时智慧服务便民服务站，让数据多跑腿、群众少跑腿。</w:t>
      </w:r>
      <w:r>
        <w:rPr>
          <w:rFonts w:hint="eastAsia" w:ascii="黑体" w:hAnsi="黑体" w:eastAsia="黑体" w:cs="Times New Roman"/>
          <w:color w:val="000000"/>
          <w:kern w:val="0"/>
          <w:sz w:val="32"/>
          <w:szCs w:val="32"/>
          <w:shd w:val="clear" w:color="auto" w:fill="FFFFFF"/>
        </w:rPr>
        <w:br/>
      </w:r>
    </w:p>
    <w:p>
      <w:pPr>
        <w:widowControl/>
        <w:shd w:val="clear" w:color="auto" w:fill="FFFFFF"/>
        <w:wordWrap/>
        <w:adjustRightInd/>
        <w:snapToGrid/>
        <w:spacing w:line="480" w:lineRule="exact"/>
        <w:textAlignment w:val="auto"/>
        <w:rPr>
          <w:rFonts w:ascii="Times New Roman" w:hAnsi="Times New Roman" w:eastAsia="宋体" w:cs="Times New Roman"/>
          <w:color w:val="333333"/>
          <w:kern w:val="0"/>
          <w:szCs w:val="21"/>
        </w:rPr>
      </w:pPr>
      <w:r>
        <w:rPr>
          <w:rFonts w:ascii="Times New Roman" w:hAnsi="Times New Roman" w:eastAsia="宋体" w:cs="Times New Roman"/>
          <w:color w:val="333333"/>
          <w:kern w:val="0"/>
          <w:szCs w:val="21"/>
        </w:rPr>
        <w:t> </w:t>
      </w:r>
    </w:p>
    <w:p>
      <w:pPr>
        <w:wordWrap/>
        <w:adjustRightInd/>
        <w:snapToGrid/>
        <w:spacing w:line="480" w:lineRule="exact"/>
        <w:textAlignment w:val="auto"/>
      </w:pPr>
    </w:p>
    <w:p>
      <w:pPr>
        <w:wordWrap/>
        <w:adjustRightInd/>
        <w:snapToGrid/>
        <w:spacing w:line="480" w:lineRule="exact"/>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万宁市公安局</w:t>
      </w:r>
    </w:p>
    <w:p>
      <w:pPr>
        <w:wordWrap/>
        <w:adjustRightInd/>
        <w:snapToGrid/>
        <w:spacing w:line="4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2021年1月28日</w:t>
      </w:r>
    </w:p>
    <w:sectPr>
      <w:pgSz w:w="11906" w:h="16838"/>
      <w:pgMar w:top="1417" w:right="1418" w:bottom="99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1" w:usb1="080E0000" w:usb2="0000000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5232676">
    <w:nsid w:val="5DE424A4"/>
    <w:multiLevelType w:val="singleLevel"/>
    <w:tmpl w:val="5DE424A4"/>
    <w:lvl w:ilvl="0" w:tentative="1">
      <w:start w:val="1"/>
      <w:numFmt w:val="chineseCounting"/>
      <w:suff w:val="nothing"/>
      <w:lvlText w:val="%1、"/>
      <w:lvlJc w:val="left"/>
      <w:rPr>
        <w:rFonts w:hint="eastAsia"/>
      </w:rPr>
    </w:lvl>
  </w:abstractNum>
  <w:num w:numId="1">
    <w:abstractNumId w:val="15752326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0C0C"/>
    <w:rsid w:val="00044046"/>
    <w:rsid w:val="00104713"/>
    <w:rsid w:val="00287CEC"/>
    <w:rsid w:val="003F43A0"/>
    <w:rsid w:val="004B200E"/>
    <w:rsid w:val="00513470"/>
    <w:rsid w:val="005D1733"/>
    <w:rsid w:val="00724820"/>
    <w:rsid w:val="007878FC"/>
    <w:rsid w:val="00792852"/>
    <w:rsid w:val="007C1E23"/>
    <w:rsid w:val="007E5BC2"/>
    <w:rsid w:val="008041B2"/>
    <w:rsid w:val="008A0B37"/>
    <w:rsid w:val="008E4C8B"/>
    <w:rsid w:val="008F2355"/>
    <w:rsid w:val="00933D4A"/>
    <w:rsid w:val="00940BBE"/>
    <w:rsid w:val="009850E5"/>
    <w:rsid w:val="00A044BB"/>
    <w:rsid w:val="00A8480F"/>
    <w:rsid w:val="00B35011"/>
    <w:rsid w:val="00B441A2"/>
    <w:rsid w:val="00B64890"/>
    <w:rsid w:val="00B7520E"/>
    <w:rsid w:val="00C1254C"/>
    <w:rsid w:val="00C84CD7"/>
    <w:rsid w:val="00C85B7E"/>
    <w:rsid w:val="00CE4780"/>
    <w:rsid w:val="00CF3ABE"/>
    <w:rsid w:val="00D80C0C"/>
    <w:rsid w:val="00DB43AB"/>
    <w:rsid w:val="00E15CB5"/>
    <w:rsid w:val="00E45D0B"/>
    <w:rsid w:val="00E97030"/>
    <w:rsid w:val="00EC6D3C"/>
    <w:rsid w:val="00EF0EE6"/>
    <w:rsid w:val="00F36F5F"/>
    <w:rsid w:val="00FE08DD"/>
    <w:rsid w:val="00FF73EE"/>
    <w:rsid w:val="055B10DE"/>
    <w:rsid w:val="0E3227C1"/>
    <w:rsid w:val="1BE055B6"/>
    <w:rsid w:val="2F4A611E"/>
    <w:rsid w:val="553943A8"/>
    <w:rsid w:val="580F6D4B"/>
    <w:rsid w:val="5FA35F53"/>
    <w:rsid w:val="70B26F34"/>
    <w:rsid w:val="75F941A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字符"/>
    <w:basedOn w:val="5"/>
    <w:link w:val="3"/>
    <w:qFormat/>
    <w:uiPriority w:val="99"/>
    <w:rPr>
      <w:sz w:val="18"/>
      <w:szCs w:val="18"/>
    </w:rPr>
  </w:style>
  <w:style w:type="character" w:customStyle="1" w:styleId="11">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998</Characters>
  <Lines>8</Lines>
  <Paragraphs>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2021-01-13T06:43:00Z</dcterms:created>
  <dc:creator>Administrator</dc:creator>
  <cp:lastModifiedBy>市公安局收发员</cp:lastModifiedBy>
  <cp:lastPrinted>2021-03-11T03:27:44Z</cp:lastPrinted>
  <dcterms:modified xsi:type="dcterms:W3CDTF">2021-03-11T03:34:40Z</dcterms:modified>
  <dc:title>万宁市公安局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