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万宁市第五次全国经济普查公报（第二号）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小标宋_GBK" w:cs="Times New Roman"/>
          <w:bCs/>
          <w:color w:val="0C0C0C"/>
          <w:kern w:val="0"/>
          <w:sz w:val="44"/>
          <w:szCs w:val="44"/>
          <w:highlight w:val="none"/>
          <w:shd w:val="clear" w:color="auto" w:fill="FFFFFF"/>
          <w:lang w:val="en-US" w:eastAsia="zh-CN" w:bidi="ar"/>
        </w:rPr>
        <w:t>——单位基本情况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万宁市统计局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w:t>
      </w:r>
      <w:r>
        <w:rPr>
          <w:rFonts w:hint="default" w:ascii="方正楷体_GBK" w:hAnsi="方正楷体_GBK" w:eastAsia="方正楷体_GBK" w:cs="方正楷体_GBK"/>
          <w:color w:val="0C0C0C"/>
          <w:kern w:val="2"/>
          <w:sz w:val="32"/>
          <w:szCs w:val="32"/>
          <w:highlight w:val="none"/>
          <w:lang w:val="en-US" w:eastAsia="zh-CN" w:bidi="ar-SA"/>
        </w:rPr>
        <w:t>202</w:t>
      </w:r>
      <w:r>
        <w:rPr>
          <w:rFonts w:hint="eastAsia" w:ascii="方正楷体_GBK" w:hAnsi="方正楷体_GBK" w:eastAsia="方正楷体_GBK" w:cs="方正楷体_GBK"/>
          <w:color w:val="0C0C0C"/>
          <w:kern w:val="2"/>
          <w:sz w:val="32"/>
          <w:szCs w:val="32"/>
          <w:highlight w:val="none"/>
          <w:lang w:val="en-US" w:eastAsia="zh-CN" w:bidi="ar-SA"/>
        </w:rPr>
        <w:t>5</w:t>
      </w:r>
      <w:r>
        <w:rPr>
          <w:rFonts w:hint="default" w:ascii="方正楷体_GBK" w:hAnsi="方正楷体_GBK" w:eastAsia="方正楷体_GBK" w:cs="方正楷体_GBK"/>
          <w:color w:val="0C0C0C"/>
          <w:kern w:val="2"/>
          <w:sz w:val="32"/>
          <w:szCs w:val="32"/>
          <w:highlight w:val="none"/>
          <w:lang w:val="en-US" w:eastAsia="zh-CN" w:bidi="ar-SA"/>
        </w:rPr>
        <w:t>年</w:t>
      </w:r>
      <w:r>
        <w:rPr>
          <w:rFonts w:hint="eastAsia" w:ascii="方正楷体_GBK" w:hAnsi="方正楷体_GBK" w:eastAsia="方正楷体_GBK" w:cs="方正楷体_GBK"/>
          <w:color w:val="0C0C0C"/>
          <w:kern w:val="2"/>
          <w:sz w:val="32"/>
          <w:szCs w:val="32"/>
          <w:highlight w:val="none"/>
          <w:lang w:val="en-US" w:eastAsia="zh-CN" w:bidi="ar-SA"/>
        </w:rPr>
        <w:t>5</w:t>
      </w:r>
      <w:bookmarkStart w:id="0" w:name="_GoBack"/>
      <w:bookmarkEnd w:id="0"/>
      <w:r>
        <w:rPr>
          <w:rFonts w:hint="default" w:ascii="方正楷体_GBK" w:hAnsi="方正楷体_GBK" w:eastAsia="方正楷体_GBK" w:cs="方正楷体_GBK"/>
          <w:color w:val="0C0C0C"/>
          <w:kern w:val="2"/>
          <w:sz w:val="32"/>
          <w:szCs w:val="32"/>
          <w:highlight w:val="none"/>
          <w:lang w:val="en-US" w:eastAsia="zh-CN" w:bidi="ar-SA"/>
        </w:rPr>
        <w:t>月</w:t>
      </w:r>
      <w:r>
        <w:rPr>
          <w:rFonts w:hint="eastAsia" w:ascii="方正楷体_GBK" w:hAnsi="方正楷体_GBK" w:eastAsia="方正楷体_GBK" w:cs="方正楷体_GBK"/>
          <w:color w:val="0C0C0C"/>
          <w:kern w:val="2"/>
          <w:sz w:val="32"/>
          <w:szCs w:val="32"/>
          <w:highlight w:val="none"/>
          <w:lang w:val="en-US" w:eastAsia="zh-CN" w:bidi="ar-SA"/>
        </w:rPr>
        <w:t>30</w:t>
      </w:r>
      <w:r>
        <w:rPr>
          <w:rFonts w:hint="default" w:ascii="方正楷体_GBK" w:hAnsi="方正楷体_GBK" w:eastAsia="方正楷体_GBK" w:cs="方正楷体_GBK"/>
          <w:color w:val="0C0C0C"/>
          <w:kern w:val="2"/>
          <w:sz w:val="32"/>
          <w:szCs w:val="32"/>
          <w:highlight w:val="none"/>
          <w:lang w:val="en-US" w:eastAsia="zh-CN" w:bidi="ar-SA"/>
        </w:rPr>
        <w:t>日</w:t>
      </w:r>
      <w:r>
        <w:rPr>
          <w:rFonts w:hint="eastAsia" w:ascii="方正楷体_GBK" w:hAnsi="方正楷体_GBK" w:eastAsia="方正楷体_GBK" w:cs="方正楷体_GBK"/>
          <w:color w:val="0C0C0C"/>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仿宋_GB2312" w:hAnsi="宋体" w:eastAsia="仿宋_GB2312" w:cs="宋体"/>
          <w:kern w:val="0"/>
          <w:sz w:val="32"/>
          <w:szCs w:val="32"/>
          <w:lang w:val="en-US" w:eastAsia="zh-CN" w:bidi="ar-SA"/>
        </w:rPr>
      </w:pPr>
      <w:r>
        <w:rPr>
          <w:rFonts w:hint="default" w:ascii="仿宋_GB2312" w:hAnsi="宋体" w:eastAsia="仿宋_GB2312" w:cs="宋体"/>
          <w:kern w:val="0"/>
          <w:sz w:val="32"/>
          <w:szCs w:val="32"/>
          <w:lang w:val="en-US" w:eastAsia="zh-CN" w:bidi="ar-SA"/>
        </w:rPr>
        <w:t>根据第五次</w:t>
      </w:r>
      <w:r>
        <w:rPr>
          <w:rFonts w:hint="eastAsia" w:ascii="仿宋_GB2312" w:hAnsi="宋体" w:eastAsia="仿宋_GB2312" w:cs="宋体"/>
          <w:kern w:val="0"/>
          <w:sz w:val="32"/>
          <w:szCs w:val="32"/>
          <w:lang w:val="en-US" w:eastAsia="zh-CN" w:bidi="ar-SA"/>
        </w:rPr>
        <w:t>全国</w:t>
      </w:r>
      <w:r>
        <w:rPr>
          <w:rFonts w:hint="default" w:ascii="仿宋_GB2312" w:hAnsi="宋体" w:eastAsia="仿宋_GB2312" w:cs="宋体"/>
          <w:kern w:val="0"/>
          <w:sz w:val="32"/>
          <w:szCs w:val="32"/>
          <w:lang w:val="en-US" w:eastAsia="zh-CN" w:bidi="ar-SA"/>
        </w:rPr>
        <w:t>经济普查结果，现将我</w:t>
      </w:r>
      <w:r>
        <w:rPr>
          <w:rFonts w:hint="eastAsia" w:ascii="仿宋_GB2312" w:hAnsi="宋体" w:eastAsia="仿宋_GB2312" w:cs="宋体"/>
          <w:kern w:val="0"/>
          <w:sz w:val="32"/>
          <w:szCs w:val="32"/>
          <w:lang w:val="en-US" w:eastAsia="zh-CN" w:bidi="ar-SA"/>
        </w:rPr>
        <w:t>市</w:t>
      </w:r>
      <w:r>
        <w:rPr>
          <w:rFonts w:hint="default" w:ascii="仿宋_GB2312" w:hAnsi="宋体" w:eastAsia="仿宋_GB2312" w:cs="宋体"/>
          <w:kern w:val="0"/>
          <w:sz w:val="32"/>
          <w:szCs w:val="32"/>
          <w:lang w:val="en-US" w:eastAsia="zh-CN" w:bidi="ar-SA"/>
        </w:rPr>
        <w:t>第二产业和第三产业单位情况、从业人员、资产负债状况和营业收入公布如下：</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一、单位情况</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仿宋_GB2312" w:hAnsi="宋体" w:eastAsia="仿宋_GB2312" w:cs="宋体"/>
          <w:kern w:val="0"/>
          <w:sz w:val="32"/>
          <w:szCs w:val="32"/>
          <w:lang w:val="en-US" w:eastAsia="zh-CN" w:bidi="ar-SA"/>
        </w:rPr>
      </w:pPr>
      <w:r>
        <w:rPr>
          <w:rFonts w:hint="default" w:ascii="仿宋_GB2312" w:hAnsi="宋体" w:eastAsia="仿宋_GB2312" w:cs="宋体"/>
          <w:kern w:val="0"/>
          <w:sz w:val="32"/>
          <w:szCs w:val="32"/>
          <w:lang w:val="en-US" w:eastAsia="zh-CN" w:bidi="ar-SA"/>
        </w:rPr>
        <w:t>2023年末，</w:t>
      </w:r>
      <w:r>
        <w:rPr>
          <w:rFonts w:hint="eastAsia" w:ascii="仿宋_GB2312" w:hAnsi="宋体" w:eastAsia="仿宋_GB2312" w:cs="宋体"/>
          <w:kern w:val="0"/>
          <w:sz w:val="32"/>
          <w:szCs w:val="32"/>
          <w:lang w:val="en-US" w:eastAsia="zh-CN" w:bidi="ar-SA"/>
        </w:rPr>
        <w:t>全市</w:t>
      </w:r>
      <w:r>
        <w:rPr>
          <w:rFonts w:hint="default" w:ascii="仿宋_GB2312" w:hAnsi="宋体" w:eastAsia="仿宋_GB2312" w:cs="宋体"/>
          <w:kern w:val="0"/>
          <w:sz w:val="32"/>
          <w:szCs w:val="32"/>
          <w:lang w:val="en-US" w:eastAsia="zh-CN" w:bidi="ar-SA"/>
        </w:rPr>
        <w:t>共有从事第二产业和第三产业活动的法人单位</w:t>
      </w:r>
      <w:r>
        <w:rPr>
          <w:rFonts w:hint="eastAsia" w:ascii="仿宋_GB2312" w:hAnsi="宋体" w:eastAsia="仿宋_GB2312" w:cs="宋体"/>
          <w:kern w:val="0"/>
          <w:sz w:val="32"/>
          <w:szCs w:val="32"/>
          <w:lang w:val="en-US" w:eastAsia="zh-CN" w:bidi="ar-SA"/>
        </w:rPr>
        <w:t>5731</w:t>
      </w:r>
      <w:r>
        <w:rPr>
          <w:rFonts w:hint="default" w:ascii="仿宋_GB2312" w:hAnsi="宋体" w:eastAsia="仿宋_GB2312" w:cs="宋体"/>
          <w:kern w:val="0"/>
          <w:sz w:val="32"/>
          <w:szCs w:val="32"/>
          <w:lang w:val="en-US" w:eastAsia="zh-CN" w:bidi="ar-SA"/>
        </w:rPr>
        <w:t>个，比2018年末增加</w:t>
      </w:r>
      <w:r>
        <w:rPr>
          <w:rFonts w:hint="eastAsia" w:ascii="仿宋_GB2312" w:hAnsi="宋体" w:eastAsia="仿宋_GB2312" w:cs="宋体"/>
          <w:kern w:val="0"/>
          <w:sz w:val="32"/>
          <w:szCs w:val="32"/>
          <w:lang w:val="en-US" w:eastAsia="zh-CN" w:bidi="ar-SA"/>
        </w:rPr>
        <w:t>3591</w:t>
      </w:r>
      <w:r>
        <w:rPr>
          <w:rFonts w:hint="default" w:ascii="仿宋_GB2312" w:hAnsi="宋体" w:eastAsia="仿宋_GB2312" w:cs="宋体"/>
          <w:kern w:val="0"/>
          <w:sz w:val="32"/>
          <w:szCs w:val="32"/>
          <w:lang w:val="en-US" w:eastAsia="zh-CN" w:bidi="ar-SA"/>
        </w:rPr>
        <w:t>个，增长</w:t>
      </w:r>
      <w:r>
        <w:rPr>
          <w:rFonts w:hint="eastAsia" w:ascii="仿宋_GB2312" w:hAnsi="宋体" w:eastAsia="仿宋_GB2312" w:cs="宋体"/>
          <w:kern w:val="0"/>
          <w:sz w:val="32"/>
          <w:szCs w:val="32"/>
          <w:lang w:val="en-US" w:eastAsia="zh-CN" w:bidi="ar-SA"/>
        </w:rPr>
        <w:t>167.8</w:t>
      </w:r>
      <w:r>
        <w:rPr>
          <w:rFonts w:hint="default" w:ascii="仿宋_GB2312" w:hAnsi="宋体" w:eastAsia="仿宋_GB2312" w:cs="宋体"/>
          <w:kern w:val="0"/>
          <w:sz w:val="32"/>
          <w:szCs w:val="32"/>
          <w:lang w:val="en-US" w:eastAsia="zh-CN" w:bidi="ar-SA"/>
        </w:rPr>
        <w:t>%；产业活动单位</w:t>
      </w:r>
      <w:r>
        <w:rPr>
          <w:rFonts w:hint="eastAsia" w:ascii="仿宋_GB2312" w:hAnsi="宋体" w:eastAsia="仿宋_GB2312" w:cs="宋体"/>
          <w:kern w:val="0"/>
          <w:sz w:val="32"/>
          <w:szCs w:val="32"/>
          <w:lang w:val="en-US" w:eastAsia="zh-CN" w:bidi="ar-SA"/>
        </w:rPr>
        <w:t>6366</w:t>
      </w:r>
      <w:r>
        <w:rPr>
          <w:rFonts w:hint="default" w:ascii="仿宋_GB2312" w:hAnsi="宋体" w:eastAsia="仿宋_GB2312" w:cs="宋体"/>
          <w:kern w:val="0"/>
          <w:sz w:val="32"/>
          <w:szCs w:val="32"/>
          <w:lang w:val="en-US" w:eastAsia="zh-CN" w:bidi="ar-SA"/>
        </w:rPr>
        <w:t>个，增加</w:t>
      </w:r>
      <w:r>
        <w:rPr>
          <w:rFonts w:hint="eastAsia" w:ascii="仿宋_GB2312" w:hAnsi="宋体" w:eastAsia="仿宋_GB2312" w:cs="宋体"/>
          <w:kern w:val="0"/>
          <w:sz w:val="32"/>
          <w:szCs w:val="32"/>
          <w:lang w:val="en-US" w:eastAsia="zh-CN" w:bidi="ar-SA"/>
        </w:rPr>
        <w:t>3544</w:t>
      </w:r>
      <w:r>
        <w:rPr>
          <w:rFonts w:hint="default" w:ascii="仿宋_GB2312" w:hAnsi="宋体" w:eastAsia="仿宋_GB2312" w:cs="宋体"/>
          <w:kern w:val="0"/>
          <w:sz w:val="32"/>
          <w:szCs w:val="32"/>
          <w:lang w:val="en-US" w:eastAsia="zh-CN" w:bidi="ar-SA"/>
        </w:rPr>
        <w:t>个，增长</w:t>
      </w:r>
      <w:r>
        <w:rPr>
          <w:rFonts w:hint="eastAsia" w:ascii="仿宋_GB2312" w:hAnsi="宋体" w:eastAsia="仿宋_GB2312" w:cs="宋体"/>
          <w:kern w:val="0"/>
          <w:sz w:val="32"/>
          <w:szCs w:val="32"/>
          <w:lang w:val="en-US" w:eastAsia="zh-CN" w:bidi="ar-SA"/>
        </w:rPr>
        <w:t>125.6</w:t>
      </w:r>
      <w:r>
        <w:rPr>
          <w:rFonts w:hint="default" w:ascii="仿宋_GB2312" w:hAnsi="宋体" w:eastAsia="仿宋_GB2312" w:cs="宋体"/>
          <w:kern w:val="0"/>
          <w:sz w:val="32"/>
          <w:szCs w:val="32"/>
          <w:lang w:val="en-US" w:eastAsia="zh-CN" w:bidi="ar-SA"/>
        </w:rPr>
        <w:t>%；个体经营户</w:t>
      </w:r>
      <w:r>
        <w:rPr>
          <w:rFonts w:hint="eastAsia" w:ascii="仿宋_GB2312" w:hAnsi="宋体" w:eastAsia="仿宋_GB2312" w:cs="宋体"/>
          <w:kern w:val="0"/>
          <w:sz w:val="32"/>
          <w:szCs w:val="32"/>
          <w:lang w:val="en-US" w:eastAsia="zh-CN" w:bidi="ar-SA"/>
        </w:rPr>
        <w:t>24930</w:t>
      </w:r>
      <w:r>
        <w:rPr>
          <w:rFonts w:hint="default" w:ascii="仿宋_GB2312" w:hAnsi="宋体" w:eastAsia="仿宋_GB2312" w:cs="宋体"/>
          <w:kern w:val="0"/>
          <w:sz w:val="32"/>
          <w:szCs w:val="32"/>
          <w:lang w:val="en-US" w:eastAsia="zh-CN" w:bidi="ar-SA"/>
        </w:rPr>
        <w:t>个，增加</w:t>
      </w:r>
      <w:r>
        <w:rPr>
          <w:rFonts w:hint="eastAsia" w:ascii="仿宋_GB2312" w:hAnsi="宋体" w:eastAsia="仿宋_GB2312" w:cs="宋体"/>
          <w:kern w:val="0"/>
          <w:sz w:val="32"/>
          <w:szCs w:val="32"/>
          <w:lang w:val="en-US" w:eastAsia="zh-CN" w:bidi="ar-SA"/>
        </w:rPr>
        <w:t>6157</w:t>
      </w:r>
      <w:r>
        <w:rPr>
          <w:rFonts w:hint="default" w:ascii="仿宋_GB2312" w:hAnsi="宋体" w:eastAsia="仿宋_GB2312" w:cs="宋体"/>
          <w:kern w:val="0"/>
          <w:sz w:val="32"/>
          <w:szCs w:val="32"/>
          <w:lang w:val="en-US" w:eastAsia="zh-CN" w:bidi="ar-SA"/>
        </w:rPr>
        <w:t>个，增长</w:t>
      </w:r>
      <w:r>
        <w:rPr>
          <w:rFonts w:hint="eastAsia" w:ascii="仿宋_GB2312" w:hAnsi="宋体" w:eastAsia="仿宋_GB2312" w:cs="宋体"/>
          <w:kern w:val="0"/>
          <w:sz w:val="32"/>
          <w:szCs w:val="32"/>
          <w:lang w:val="en-US" w:eastAsia="zh-CN" w:bidi="ar-SA"/>
        </w:rPr>
        <w:t>32.8</w:t>
      </w:r>
      <w:r>
        <w:rPr>
          <w:rFonts w:hint="default" w:ascii="仿宋_GB2312" w:hAnsi="宋体" w:eastAsia="仿宋_GB2312" w:cs="宋体"/>
          <w:kern w:val="0"/>
          <w:sz w:val="32"/>
          <w:szCs w:val="32"/>
          <w:lang w:val="en-US" w:eastAsia="zh-CN" w:bidi="ar-SA"/>
        </w:rPr>
        <w:t>%（详见表2-1）。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表2-1　单位数与个体经营户数</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20"/>
        <w:gridCol w:w="1904"/>
        <w:gridCol w:w="18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C0C0C"/>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一、法人单位</w:t>
            </w:r>
          </w:p>
        </w:tc>
        <w:tc>
          <w:tcPr>
            <w:tcW w:w="1146" w:type="pct"/>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5731</w:t>
            </w:r>
          </w:p>
        </w:tc>
        <w:tc>
          <w:tcPr>
            <w:tcW w:w="113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企业法人</w:t>
            </w:r>
          </w:p>
        </w:tc>
        <w:tc>
          <w:tcPr>
            <w:tcW w:w="114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4274</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74.58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机关、事业法人</w:t>
            </w:r>
          </w:p>
        </w:tc>
        <w:tc>
          <w:tcPr>
            <w:tcW w:w="114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244</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4.26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社会团体</w:t>
            </w:r>
          </w:p>
        </w:tc>
        <w:tc>
          <w:tcPr>
            <w:tcW w:w="114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81</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1.41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其他法人</w:t>
            </w:r>
          </w:p>
        </w:tc>
        <w:tc>
          <w:tcPr>
            <w:tcW w:w="114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1132</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19.75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二、产业活动单位</w:t>
            </w:r>
          </w:p>
        </w:tc>
        <w:tc>
          <w:tcPr>
            <w:tcW w:w="114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6366</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100.00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859</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14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5507</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86.51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三、个体经营户</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24930</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100.00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90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1174</w:t>
            </w:r>
          </w:p>
        </w:tc>
        <w:tc>
          <w:tcPr>
            <w:tcW w:w="187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90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23756</w:t>
            </w:r>
          </w:p>
        </w:tc>
        <w:tc>
          <w:tcPr>
            <w:tcW w:w="187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95.29</w:t>
            </w:r>
          </w:p>
        </w:tc>
      </w:tr>
    </w:tbl>
    <w:p>
      <w:pPr>
        <w:pStyle w:val="5"/>
        <w:keepNext w:val="0"/>
        <w:keepLines w:val="0"/>
        <w:pageBreakBefore w:val="0"/>
        <w:widowControl w:val="0"/>
        <w:kinsoku/>
        <w:wordWrap/>
        <w:overflowPunct/>
        <w:topLinePunct w:val="0"/>
        <w:autoSpaceDE/>
        <w:autoSpaceDN/>
        <w:bidi w:val="0"/>
        <w:adjustRightInd/>
        <w:snapToGrid w:val="0"/>
        <w:spacing w:line="200" w:lineRule="exact"/>
        <w:ind w:firstLine="360" w:firstLineChars="200"/>
        <w:jc w:val="both"/>
        <w:textAlignment w:val="auto"/>
        <w:rPr>
          <w:rFonts w:hint="default" w:ascii="仿宋_GB2312" w:hAnsi="宋体" w:eastAsia="仿宋_GB2312" w:cs="宋体"/>
          <w:kern w:val="0"/>
          <w:sz w:val="32"/>
          <w:szCs w:val="32"/>
          <w:lang w:val="en-US" w:eastAsia="zh-CN" w:bidi="ar-SA"/>
        </w:rPr>
      </w:pPr>
      <w:r>
        <w:rPr>
          <w:rFonts w:hint="eastAsia" w:ascii="宋体" w:hAnsi="宋体" w:eastAsia="宋体" w:cs="宋体"/>
          <w:szCs w:val="18"/>
          <w:lang w:eastAsia="zh-CN"/>
        </w:rPr>
        <w:t>注：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宋体" w:eastAsia="仿宋_GB2312" w:cs="宋体"/>
          <w:kern w:val="0"/>
          <w:sz w:val="32"/>
          <w:szCs w:val="32"/>
          <w:lang w:val="en-US" w:eastAsia="zh-CN" w:bidi="ar-SA"/>
        </w:rPr>
      </w:pPr>
      <w:r>
        <w:rPr>
          <w:rFonts w:hint="default" w:ascii="仿宋_GB2312" w:hAnsi="宋体" w:eastAsia="仿宋_GB2312" w:cs="宋体"/>
          <w:kern w:val="0"/>
          <w:sz w:val="32"/>
          <w:szCs w:val="32"/>
          <w:lang w:val="en-US" w:eastAsia="zh-CN" w:bidi="ar-SA"/>
        </w:rPr>
        <w:t>在第二产业和第三产业法人单位中，位居前三位的行业是：租赁和商务服务业1364个，占23.80% ；批发和零售业1179个，占20.57% ；建筑业525个，占9.16% 。在个体经营户中，位居前三位的行业是</w:t>
      </w:r>
      <w:r>
        <w:rPr>
          <w:rFonts w:hint="eastAsia" w:ascii="仿宋_GB2312" w:hAnsi="宋体" w:eastAsia="仿宋_GB2312" w:cs="宋体"/>
          <w:kern w:val="0"/>
          <w:sz w:val="32"/>
          <w:szCs w:val="32"/>
          <w:lang w:val="en-US" w:eastAsia="zh-CN" w:bidi="ar-SA"/>
        </w:rPr>
        <w:t>：</w:t>
      </w:r>
      <w:r>
        <w:rPr>
          <w:rFonts w:hint="default" w:ascii="仿宋_GB2312" w:hAnsi="宋体" w:eastAsia="仿宋_GB2312" w:cs="宋体"/>
          <w:kern w:val="0"/>
          <w:sz w:val="32"/>
          <w:szCs w:val="32"/>
          <w:lang w:val="en-US" w:eastAsia="zh-CN" w:bidi="ar-SA"/>
        </w:rPr>
        <w:t>批发和零售业15184个，占60.91% ；住宿和餐饮业4258个，占17.08% ； 居民服务、修理和其他服务业2039个，占8.18% （详见表2-2）。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按行业门类分组的法人单位数与个体经营户数</w:t>
      </w:r>
    </w:p>
    <w:tbl>
      <w:tblPr>
        <w:tblStyle w:val="6"/>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35"/>
        <w:gridCol w:w="1384"/>
        <w:gridCol w:w="1270"/>
        <w:gridCol w:w="1348"/>
        <w:gridCol w:w="11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535"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eastAsia="宋体" w:cs="宋体"/>
                <w:color w:val="0C0C0C"/>
                <w:kern w:val="0"/>
                <w:sz w:val="21"/>
                <w:szCs w:val="21"/>
                <w:highlight w:val="none"/>
                <w:lang w:val="en-US" w:eastAsia="zh-CN" w:bidi="ar"/>
              </w:rPr>
            </w:pPr>
          </w:p>
        </w:tc>
        <w:tc>
          <w:tcPr>
            <w:tcW w:w="2654"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个体经营户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535"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eastAsia="宋体" w:cs="宋体"/>
                <w:color w:val="0C0C0C"/>
                <w:kern w:val="0"/>
                <w:sz w:val="21"/>
                <w:szCs w:val="21"/>
                <w:highlight w:val="none"/>
                <w:lang w:val="en-US" w:eastAsia="zh-CN" w:bidi="ar"/>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211" w:firstLineChars="100"/>
              <w:jc w:val="both"/>
              <w:textAlignment w:val="auto"/>
              <w:rPr>
                <w:rFonts w:hint="eastAsia" w:asciiTheme="majorEastAsia" w:hAnsiTheme="majorEastAsia" w:eastAsiaTheme="majorEastAsia" w:cstheme="majorEastAsia"/>
                <w:b/>
                <w:bCs/>
                <w:color w:val="0C0C0C"/>
                <w:kern w:val="0"/>
                <w:sz w:val="21"/>
                <w:szCs w:val="21"/>
                <w:highlight w:val="none"/>
                <w:lang w:val="en-US" w:eastAsia="zh-CN" w:bidi="ar"/>
              </w:rPr>
            </w:pPr>
            <w:r>
              <w:rPr>
                <w:rFonts w:hint="eastAsia" w:asciiTheme="majorEastAsia" w:hAnsiTheme="majorEastAsia" w:eastAsiaTheme="majorEastAsia" w:cstheme="majorEastAsia"/>
                <w:b/>
                <w:bCs/>
                <w:color w:val="0C0C0C"/>
                <w:kern w:val="0"/>
                <w:sz w:val="21"/>
                <w:szCs w:val="21"/>
                <w:highlight w:val="none"/>
                <w:lang w:val="en-US" w:eastAsia="zh-CN" w:bidi="ar"/>
              </w:rPr>
              <w:t>数量（个）</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211" w:firstLineChars="100"/>
              <w:jc w:val="both"/>
              <w:textAlignment w:val="auto"/>
              <w:rPr>
                <w:rFonts w:hint="eastAsia" w:asciiTheme="majorEastAsia" w:hAnsiTheme="majorEastAsia" w:eastAsiaTheme="majorEastAsia" w:cstheme="majorEastAsia"/>
                <w:b/>
                <w:bCs/>
                <w:color w:val="0C0C0C"/>
                <w:kern w:val="0"/>
                <w:sz w:val="21"/>
                <w:szCs w:val="21"/>
                <w:highlight w:val="none"/>
                <w:lang w:val="en-US" w:eastAsia="zh-CN" w:bidi="ar"/>
              </w:rPr>
            </w:pPr>
            <w:r>
              <w:rPr>
                <w:rFonts w:hint="eastAsia" w:asciiTheme="majorEastAsia" w:hAnsiTheme="majorEastAsia" w:eastAsiaTheme="majorEastAsia" w:cstheme="majorEastAsia"/>
                <w:b/>
                <w:bCs/>
                <w:color w:val="0C0C0C"/>
                <w:kern w:val="0"/>
                <w:sz w:val="21"/>
                <w:szCs w:val="21"/>
                <w:highlight w:val="none"/>
                <w:lang w:val="en-US" w:eastAsia="zh-CN" w:bidi="ar"/>
              </w:rPr>
              <w:t>比重（%）</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211" w:firstLineChars="100"/>
              <w:jc w:val="both"/>
              <w:textAlignment w:val="auto"/>
              <w:rPr>
                <w:rFonts w:hint="eastAsia" w:asciiTheme="majorEastAsia" w:hAnsiTheme="majorEastAsia" w:eastAsiaTheme="majorEastAsia" w:cstheme="majorEastAsia"/>
                <w:b/>
                <w:bCs/>
                <w:color w:val="0C0C0C"/>
                <w:kern w:val="0"/>
                <w:sz w:val="21"/>
                <w:szCs w:val="21"/>
                <w:highlight w:val="none"/>
                <w:lang w:val="en-US" w:eastAsia="zh-CN" w:bidi="ar"/>
              </w:rPr>
            </w:pPr>
            <w:r>
              <w:rPr>
                <w:rFonts w:hint="eastAsia" w:asciiTheme="majorEastAsia" w:hAnsiTheme="majorEastAsia" w:eastAsiaTheme="majorEastAsia" w:cstheme="majorEastAsia"/>
                <w:b/>
                <w:bCs/>
                <w:color w:val="0C0C0C"/>
                <w:kern w:val="0"/>
                <w:sz w:val="21"/>
                <w:szCs w:val="21"/>
                <w:highlight w:val="none"/>
                <w:lang w:val="en-US" w:eastAsia="zh-CN" w:bidi="ar"/>
              </w:rPr>
              <w:t>数量（个）</w:t>
            </w:r>
          </w:p>
        </w:tc>
        <w:tc>
          <w:tcPr>
            <w:tcW w:w="115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ajorEastAsia" w:hAnsiTheme="majorEastAsia" w:eastAsiaTheme="majorEastAsia" w:cstheme="majorEastAsia"/>
                <w:b/>
                <w:bCs/>
                <w:color w:val="0C0C0C"/>
                <w:kern w:val="0"/>
                <w:sz w:val="21"/>
                <w:szCs w:val="21"/>
                <w:highlight w:val="none"/>
                <w:lang w:val="en-US" w:eastAsia="zh-CN" w:bidi="ar"/>
              </w:rPr>
            </w:pPr>
            <w:r>
              <w:rPr>
                <w:rFonts w:hint="eastAsia" w:asciiTheme="majorEastAsia" w:hAnsiTheme="majorEastAsia" w:eastAsiaTheme="majorEastAsia" w:cstheme="majorEastAsia"/>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35"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b/>
                <w:bCs/>
                <w:color w:val="0C0C0C"/>
                <w:kern w:val="0"/>
                <w:sz w:val="21"/>
                <w:szCs w:val="21"/>
                <w:highlight w:val="none"/>
                <w:lang w:val="en-US" w:eastAsia="zh-CN" w:bidi="ar"/>
              </w:rPr>
              <w:t>合　计</w:t>
            </w:r>
          </w:p>
        </w:tc>
        <w:tc>
          <w:tcPr>
            <w:tcW w:w="138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 xml:space="preserve">5731 </w:t>
            </w:r>
          </w:p>
        </w:tc>
        <w:tc>
          <w:tcPr>
            <w:tcW w:w="127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100</w:t>
            </w:r>
          </w:p>
        </w:tc>
        <w:tc>
          <w:tcPr>
            <w:tcW w:w="134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24930</w:t>
            </w:r>
          </w:p>
        </w:tc>
        <w:tc>
          <w:tcPr>
            <w:tcW w:w="115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农、林、牧、渔业*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163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2.84</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159</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0.64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采矿业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20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0.35</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0.01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制造业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259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4.52</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996</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电力、热力、燃气及水生产和供应业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23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0.40</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建筑业</w:t>
            </w:r>
          </w:p>
        </w:tc>
        <w:tc>
          <w:tcPr>
            <w:tcW w:w="138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525 </w:t>
            </w:r>
          </w:p>
        </w:tc>
        <w:tc>
          <w:tcPr>
            <w:tcW w:w="127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9.16</w:t>
            </w:r>
          </w:p>
        </w:tc>
        <w:tc>
          <w:tcPr>
            <w:tcW w:w="134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170</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0.68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批发和零售业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1179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20.57</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15184</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60.91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交通运输、仓储和邮政业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112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1.95</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730</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2.93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住宿和餐饮业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316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5.51</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4258</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17.08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信息传输、软件和信息技术服务业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165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2.88</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266</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1.07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金融业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9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0.16</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房地产业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357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6.23</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145</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租赁和商务服务业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1364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23.80</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375</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科学研究和技术服务业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193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3.37</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94</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0.38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水利、环境和公共设施管理业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54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0.94</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0.05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居民服务、修理和其他服务业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123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2.15</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2039</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8.18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教育</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230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4.01</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卫生和社会工作</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64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1.12</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203</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0.81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文化、体育和娱乐业</w:t>
            </w:r>
          </w:p>
        </w:tc>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160 </w:t>
            </w:r>
          </w:p>
        </w:tc>
        <w:tc>
          <w:tcPr>
            <w:tcW w:w="127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2.79</w:t>
            </w:r>
          </w:p>
        </w:tc>
        <w:tc>
          <w:tcPr>
            <w:tcW w:w="134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257</w:t>
            </w:r>
          </w:p>
        </w:tc>
        <w:tc>
          <w:tcPr>
            <w:tcW w:w="1155"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5"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ajorEastAsia" w:hAnsiTheme="majorEastAsia" w:eastAsiaTheme="majorEastAsia" w:cstheme="majorEastAsia"/>
                <w:color w:val="0C0C0C"/>
                <w:kern w:val="0"/>
                <w:sz w:val="21"/>
                <w:szCs w:val="21"/>
                <w:highlight w:val="none"/>
                <w:lang w:val="en-US" w:eastAsia="zh-CN" w:bidi="ar"/>
              </w:rPr>
            </w:pPr>
            <w:r>
              <w:rPr>
                <w:rFonts w:hint="eastAsia" w:asciiTheme="majorEastAsia" w:hAnsiTheme="majorEastAsia" w:eastAsiaTheme="majorEastAsia" w:cstheme="majorEastAsia"/>
                <w:color w:val="0C0C0C"/>
                <w:kern w:val="0"/>
                <w:sz w:val="21"/>
                <w:szCs w:val="21"/>
                <w:highlight w:val="none"/>
                <w:lang w:val="en-US" w:eastAsia="zh-CN" w:bidi="ar"/>
              </w:rPr>
              <w:t>公共管理、社会保障和社会组织</w:t>
            </w:r>
          </w:p>
        </w:tc>
        <w:tc>
          <w:tcPr>
            <w:tcW w:w="138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415 </w:t>
            </w:r>
          </w:p>
        </w:tc>
        <w:tc>
          <w:tcPr>
            <w:tcW w:w="127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7.24</w:t>
            </w:r>
          </w:p>
        </w:tc>
        <w:tc>
          <w:tcPr>
            <w:tcW w:w="134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w:t>
            </w:r>
          </w:p>
        </w:tc>
        <w:tc>
          <w:tcPr>
            <w:tcW w:w="115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仿宋_GB2312"/>
                <w:color w:val="0C0C0C"/>
                <w:sz w:val="21"/>
                <w:szCs w:val="21"/>
                <w:highlight w:val="none"/>
                <w:lang w:val="en-US"/>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640" w:firstLineChars="200"/>
        <w:jc w:val="both"/>
        <w:textAlignment w:val="auto"/>
        <w:rPr>
          <w:rFonts w:hint="default" w:ascii="仿宋_GB2312" w:hAnsi="宋体" w:eastAsia="仿宋_GB2312" w:cs="宋体"/>
          <w:kern w:val="0"/>
          <w:sz w:val="32"/>
          <w:szCs w:val="32"/>
          <w:lang w:val="en-US" w:eastAsia="zh-CN" w:bidi="ar-SA"/>
        </w:rPr>
      </w:pPr>
      <w:r>
        <w:rPr>
          <w:rFonts w:hint="default" w:ascii="仿宋_GB2312" w:hAnsi="宋体" w:eastAsia="仿宋_GB2312" w:cs="宋体"/>
          <w:kern w:val="0"/>
          <w:sz w:val="32"/>
          <w:szCs w:val="32"/>
          <w:lang w:val="en-US" w:eastAsia="zh-CN" w:bidi="ar-SA"/>
        </w:rPr>
        <w:t>2023年末，全市第二产业和第三产业法人单位从业人员</w:t>
      </w:r>
      <w:r>
        <w:rPr>
          <w:rFonts w:hint="eastAsia" w:ascii="仿宋_GB2312" w:hAnsi="宋体" w:eastAsia="仿宋_GB2312" w:cs="宋体"/>
          <w:kern w:val="0"/>
          <w:sz w:val="32"/>
          <w:szCs w:val="32"/>
          <w:lang w:val="en-US" w:eastAsia="zh-CN" w:bidi="ar-SA"/>
        </w:rPr>
        <w:t>58847</w:t>
      </w:r>
      <w:r>
        <w:rPr>
          <w:rFonts w:hint="default" w:ascii="仿宋_GB2312" w:hAnsi="宋体" w:eastAsia="仿宋_GB2312" w:cs="宋体"/>
          <w:kern w:val="0"/>
          <w:sz w:val="32"/>
          <w:szCs w:val="32"/>
          <w:lang w:val="en-US" w:eastAsia="zh-CN" w:bidi="ar-SA"/>
        </w:rPr>
        <w:t>人，比2018年末增加</w:t>
      </w:r>
      <w:r>
        <w:rPr>
          <w:rFonts w:hint="eastAsia" w:ascii="仿宋_GB2312" w:hAnsi="宋体" w:eastAsia="仿宋_GB2312" w:cs="宋体"/>
          <w:kern w:val="0"/>
          <w:sz w:val="32"/>
          <w:szCs w:val="32"/>
          <w:lang w:val="en-US" w:eastAsia="zh-CN" w:bidi="ar-SA"/>
        </w:rPr>
        <w:t>15289</w:t>
      </w:r>
      <w:r>
        <w:rPr>
          <w:rFonts w:hint="default" w:ascii="仿宋_GB2312" w:hAnsi="宋体" w:eastAsia="仿宋_GB2312" w:cs="宋体"/>
          <w:kern w:val="0"/>
          <w:sz w:val="32"/>
          <w:szCs w:val="32"/>
          <w:lang w:val="en-US" w:eastAsia="zh-CN" w:bidi="ar-SA"/>
        </w:rPr>
        <w:t>人，增长35.1%，其中女性从业人员</w:t>
      </w:r>
      <w:r>
        <w:rPr>
          <w:rFonts w:hint="eastAsia" w:ascii="仿宋_GB2312" w:hAnsi="宋体" w:eastAsia="仿宋_GB2312" w:cs="宋体"/>
          <w:kern w:val="0"/>
          <w:sz w:val="32"/>
          <w:szCs w:val="32"/>
          <w:lang w:val="en-US" w:eastAsia="zh-CN" w:bidi="ar-SA"/>
        </w:rPr>
        <w:t>27989</w:t>
      </w:r>
      <w:r>
        <w:rPr>
          <w:rFonts w:hint="default" w:ascii="仿宋_GB2312" w:hAnsi="宋体" w:eastAsia="仿宋_GB2312" w:cs="宋体"/>
          <w:kern w:val="0"/>
          <w:sz w:val="32"/>
          <w:szCs w:val="32"/>
          <w:lang w:val="en-US" w:eastAsia="zh-CN" w:bidi="ar-SA"/>
        </w:rPr>
        <w:t>人。第二产业从业人员</w:t>
      </w:r>
      <w:r>
        <w:rPr>
          <w:rFonts w:hint="eastAsia" w:ascii="仿宋_GB2312" w:hAnsi="宋体" w:eastAsia="仿宋_GB2312" w:cs="宋体"/>
          <w:kern w:val="0"/>
          <w:sz w:val="32"/>
          <w:szCs w:val="32"/>
          <w:lang w:val="en-US" w:eastAsia="zh-CN" w:bidi="ar-SA"/>
        </w:rPr>
        <w:t>19058</w:t>
      </w:r>
      <w:r>
        <w:rPr>
          <w:rFonts w:hint="default" w:ascii="仿宋_GB2312" w:hAnsi="宋体" w:eastAsia="仿宋_GB2312" w:cs="宋体"/>
          <w:kern w:val="0"/>
          <w:sz w:val="32"/>
          <w:szCs w:val="32"/>
          <w:lang w:val="en-US" w:eastAsia="zh-CN" w:bidi="ar-SA"/>
        </w:rPr>
        <w:t>人，</w:t>
      </w:r>
      <w:r>
        <w:rPr>
          <w:rFonts w:hint="eastAsia" w:ascii="仿宋_GB2312" w:hAnsi="宋体" w:eastAsia="仿宋_GB2312" w:cs="宋体"/>
          <w:kern w:val="0"/>
          <w:sz w:val="32"/>
          <w:szCs w:val="32"/>
          <w:lang w:val="en-US" w:eastAsia="zh-CN" w:bidi="ar-SA"/>
        </w:rPr>
        <w:t>增加10135</w:t>
      </w:r>
      <w:r>
        <w:rPr>
          <w:rFonts w:hint="default" w:ascii="仿宋_GB2312" w:hAnsi="宋体" w:eastAsia="仿宋_GB2312" w:cs="宋体"/>
          <w:kern w:val="0"/>
          <w:sz w:val="32"/>
          <w:szCs w:val="32"/>
          <w:lang w:val="en-US" w:eastAsia="zh-CN" w:bidi="ar-SA"/>
        </w:rPr>
        <w:t>人，</w:t>
      </w:r>
      <w:r>
        <w:rPr>
          <w:rFonts w:hint="eastAsia" w:ascii="仿宋_GB2312" w:hAnsi="宋体" w:eastAsia="仿宋_GB2312" w:cs="宋体"/>
          <w:kern w:val="0"/>
          <w:sz w:val="32"/>
          <w:szCs w:val="32"/>
          <w:lang w:val="en-US" w:eastAsia="zh-CN" w:bidi="ar-SA"/>
        </w:rPr>
        <w:t>增长113.6</w:t>
      </w:r>
      <w:r>
        <w:rPr>
          <w:rFonts w:hint="default" w:ascii="仿宋_GB2312" w:hAnsi="宋体" w:eastAsia="仿宋_GB2312" w:cs="宋体"/>
          <w:kern w:val="0"/>
          <w:sz w:val="32"/>
          <w:szCs w:val="32"/>
          <w:lang w:val="en-US" w:eastAsia="zh-CN" w:bidi="ar-SA"/>
        </w:rPr>
        <w:t>%；第三产业从业人员</w:t>
      </w:r>
      <w:r>
        <w:rPr>
          <w:rFonts w:hint="eastAsia" w:ascii="仿宋_GB2312" w:hAnsi="宋体" w:eastAsia="仿宋_GB2312" w:cs="宋体"/>
          <w:kern w:val="0"/>
          <w:sz w:val="32"/>
          <w:szCs w:val="32"/>
          <w:lang w:val="en-US" w:eastAsia="zh-CN" w:bidi="ar-SA"/>
        </w:rPr>
        <w:t>38775</w:t>
      </w:r>
      <w:r>
        <w:rPr>
          <w:rFonts w:hint="default" w:ascii="仿宋_GB2312" w:hAnsi="宋体" w:eastAsia="仿宋_GB2312" w:cs="宋体"/>
          <w:kern w:val="0"/>
          <w:sz w:val="32"/>
          <w:szCs w:val="32"/>
          <w:lang w:val="en-US" w:eastAsia="zh-CN" w:bidi="ar-SA"/>
        </w:rPr>
        <w:t>人，增加</w:t>
      </w:r>
      <w:r>
        <w:rPr>
          <w:rFonts w:hint="eastAsia" w:ascii="仿宋_GB2312" w:hAnsi="宋体" w:eastAsia="仿宋_GB2312" w:cs="宋体"/>
          <w:kern w:val="0"/>
          <w:sz w:val="32"/>
          <w:szCs w:val="32"/>
          <w:lang w:val="en-US" w:eastAsia="zh-CN" w:bidi="ar-SA"/>
        </w:rPr>
        <w:t>4140</w:t>
      </w:r>
      <w:r>
        <w:rPr>
          <w:rFonts w:hint="default" w:ascii="仿宋_GB2312" w:hAnsi="宋体" w:eastAsia="仿宋_GB2312" w:cs="宋体"/>
          <w:kern w:val="0"/>
          <w:sz w:val="32"/>
          <w:szCs w:val="32"/>
          <w:lang w:val="en-US" w:eastAsia="zh-CN" w:bidi="ar-SA"/>
        </w:rPr>
        <w:t>人，增长</w:t>
      </w:r>
      <w:r>
        <w:rPr>
          <w:rFonts w:hint="eastAsia" w:ascii="仿宋_GB2312" w:hAnsi="宋体" w:eastAsia="仿宋_GB2312" w:cs="宋体"/>
          <w:kern w:val="0"/>
          <w:sz w:val="32"/>
          <w:szCs w:val="32"/>
          <w:lang w:val="en-US" w:eastAsia="zh-CN" w:bidi="ar-SA"/>
        </w:rPr>
        <w:t>12.0</w:t>
      </w:r>
      <w:r>
        <w:rPr>
          <w:rFonts w:hint="default" w:ascii="仿宋_GB2312" w:hAnsi="宋体" w:eastAsia="仿宋_GB2312" w:cs="宋体"/>
          <w:kern w:val="0"/>
          <w:sz w:val="32"/>
          <w:szCs w:val="32"/>
          <w:lang w:val="en-US" w:eastAsia="zh-CN" w:bidi="ar-SA"/>
        </w:rPr>
        <w:t>%。个体经营户从业人员56426人，其中女性从业人员30335人。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640" w:firstLineChars="0"/>
        <w:jc w:val="left"/>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default" w:ascii="仿宋_GB2312" w:hAnsi="宋体" w:eastAsia="仿宋_GB2312" w:cs="宋体"/>
          <w:kern w:val="0"/>
          <w:sz w:val="32"/>
          <w:szCs w:val="32"/>
          <w:lang w:val="en-US" w:eastAsia="zh-CN" w:bidi="ar-SA"/>
        </w:rPr>
        <w:t>在第二产业和第三产业法人单位从业人员中，位居前三位的行业是：制造业</w:t>
      </w:r>
      <w:r>
        <w:rPr>
          <w:rFonts w:hint="eastAsia" w:ascii="仿宋_GB2312" w:hAnsi="宋体" w:eastAsia="仿宋_GB2312" w:cs="宋体"/>
          <w:kern w:val="0"/>
          <w:sz w:val="32"/>
          <w:szCs w:val="32"/>
          <w:lang w:val="en-US" w:eastAsia="zh-CN" w:bidi="ar-SA"/>
        </w:rPr>
        <w:t>14480</w:t>
      </w:r>
      <w:r>
        <w:rPr>
          <w:rFonts w:hint="default" w:ascii="仿宋_GB2312" w:hAnsi="宋体" w:eastAsia="仿宋_GB2312" w:cs="宋体"/>
          <w:kern w:val="0"/>
          <w:sz w:val="32"/>
          <w:szCs w:val="32"/>
          <w:lang w:val="en-US" w:eastAsia="zh-CN" w:bidi="ar-SA"/>
        </w:rPr>
        <w:t>人，占24.6%；公共管理、社会保障和社会组织业</w:t>
      </w:r>
      <w:r>
        <w:rPr>
          <w:rFonts w:hint="eastAsia" w:ascii="仿宋_GB2312" w:hAnsi="宋体" w:eastAsia="仿宋_GB2312" w:cs="宋体"/>
          <w:kern w:val="0"/>
          <w:sz w:val="32"/>
          <w:szCs w:val="32"/>
          <w:lang w:val="en-US" w:eastAsia="zh-CN" w:bidi="ar-SA"/>
        </w:rPr>
        <w:t>7839</w:t>
      </w:r>
      <w:r>
        <w:rPr>
          <w:rFonts w:hint="default" w:ascii="仿宋_GB2312" w:hAnsi="宋体" w:eastAsia="仿宋_GB2312" w:cs="宋体"/>
          <w:kern w:val="0"/>
          <w:sz w:val="32"/>
          <w:szCs w:val="32"/>
          <w:lang w:val="en-US" w:eastAsia="zh-CN" w:bidi="ar-SA"/>
        </w:rPr>
        <w:t>人，占13.3%；</w:t>
      </w:r>
      <w:r>
        <w:rPr>
          <w:rFonts w:hint="eastAsia" w:ascii="仿宋_GB2312" w:hAnsi="宋体" w:eastAsia="仿宋_GB2312" w:cs="宋体"/>
          <w:kern w:val="0"/>
          <w:sz w:val="32"/>
          <w:szCs w:val="32"/>
          <w:lang w:val="en-US" w:eastAsia="zh-CN" w:bidi="ar-SA"/>
        </w:rPr>
        <w:t>教育行业7127</w:t>
      </w:r>
      <w:r>
        <w:rPr>
          <w:rFonts w:hint="default" w:ascii="仿宋_GB2312" w:hAnsi="宋体" w:eastAsia="仿宋_GB2312" w:cs="宋体"/>
          <w:kern w:val="0"/>
          <w:sz w:val="32"/>
          <w:szCs w:val="32"/>
          <w:lang w:val="en-US" w:eastAsia="zh-CN" w:bidi="ar-SA"/>
        </w:rPr>
        <w:t>人，占</w:t>
      </w:r>
      <w:r>
        <w:rPr>
          <w:rFonts w:hint="eastAsia" w:ascii="仿宋_GB2312" w:hAnsi="宋体" w:eastAsia="仿宋_GB2312" w:cs="宋体"/>
          <w:kern w:val="0"/>
          <w:sz w:val="32"/>
          <w:szCs w:val="32"/>
          <w:lang w:val="en-US" w:eastAsia="zh-CN" w:bidi="ar-SA"/>
        </w:rPr>
        <w:t>12.1</w:t>
      </w:r>
      <w:r>
        <w:rPr>
          <w:rFonts w:hint="default" w:ascii="仿宋_GB2312" w:hAnsi="宋体" w:eastAsia="仿宋_GB2312" w:cs="宋体"/>
          <w:kern w:val="0"/>
          <w:sz w:val="32"/>
          <w:szCs w:val="32"/>
          <w:lang w:val="en-US" w:eastAsia="zh-CN" w:bidi="ar-SA"/>
        </w:rPr>
        <w:t>%。在个体经营户从业人员中，位居前三位的行业是：批发和零售业28146人，占50.06%；住宿和餐饮业13462人，占23.86%；居民服务、修理和其他服务业4759人，占8.44%（详见表2-3）。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64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表2-3　按行业门类分组的法人单位与个体经营户从业人员</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93"/>
        <w:gridCol w:w="1305"/>
        <w:gridCol w:w="1135"/>
        <w:gridCol w:w="1436"/>
        <w:gridCol w:w="11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83" w:type="pct"/>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eastAsia" w:ascii="Times New Roman" w:hAnsi="Times New Roman" w:eastAsia="宋体" w:cs="宋体"/>
                <w:color w:val="0C0C0C"/>
                <w:sz w:val="21"/>
                <w:szCs w:val="21"/>
                <w:highlight w:val="none"/>
              </w:rPr>
            </w:pPr>
          </w:p>
        </w:tc>
        <w:tc>
          <w:tcPr>
            <w:tcW w:w="786"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83"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865"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个体经营户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81" w:type="pct"/>
            <w:tcBorders>
              <w:top w:val="single" w:color="auto" w:sz="12" w:space="0"/>
              <w:left w:val="nil"/>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83"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0C0C0C"/>
                <w:sz w:val="21"/>
                <w:szCs w:val="21"/>
                <w:highlight w:val="none"/>
              </w:rPr>
            </w:pPr>
          </w:p>
        </w:tc>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c>
          <w:tcPr>
            <w:tcW w:w="8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81"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78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58847</w:t>
            </w:r>
          </w:p>
        </w:tc>
        <w:tc>
          <w:tcPr>
            <w:tcW w:w="68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27989</w:t>
            </w:r>
          </w:p>
        </w:tc>
        <w:tc>
          <w:tcPr>
            <w:tcW w:w="865"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56426</w:t>
            </w:r>
          </w:p>
        </w:tc>
        <w:tc>
          <w:tcPr>
            <w:tcW w:w="68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30335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1014</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363</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708</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203</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55</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14480</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8182</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2510</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790</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254</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15</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786"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3585</w:t>
            </w:r>
          </w:p>
        </w:tc>
        <w:tc>
          <w:tcPr>
            <w:tcW w:w="683"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1131</w:t>
            </w:r>
          </w:p>
        </w:tc>
        <w:tc>
          <w:tcPr>
            <w:tcW w:w="865"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1074</w:t>
            </w:r>
          </w:p>
        </w:tc>
        <w:tc>
          <w:tcPr>
            <w:tcW w:w="681" w:type="pct"/>
            <w:tcBorders>
              <w:top w:val="nil"/>
              <w:left w:val="single" w:color="auto" w:sz="4" w:space="0"/>
              <w:bottom w:val="nil"/>
              <w:right w:val="nil"/>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4803</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2230</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28146</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15610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760</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196</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1435</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3192</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1743</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13462</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7909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487</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203</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499</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457</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214</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3285</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1402</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1033</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3430</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1331</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838</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1308</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369</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193</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646</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253</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33</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968</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514</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4759</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2536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7127</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4703</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59</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3322</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2070</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583</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7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1151</w:t>
            </w:r>
          </w:p>
        </w:tc>
        <w:tc>
          <w:tcPr>
            <w:tcW w:w="68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546</w:t>
            </w:r>
          </w:p>
        </w:tc>
        <w:tc>
          <w:tcPr>
            <w:tcW w:w="86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1066</w:t>
            </w:r>
          </w:p>
        </w:tc>
        <w:tc>
          <w:tcPr>
            <w:tcW w:w="68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83"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78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7839</w:t>
            </w:r>
          </w:p>
        </w:tc>
        <w:tc>
          <w:tcPr>
            <w:tcW w:w="683"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2230</w:t>
            </w:r>
          </w:p>
        </w:tc>
        <w:tc>
          <w:tcPr>
            <w:tcW w:w="865"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68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5"/>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仿宋_GB2312" w:cs="仿宋_GB2312"/>
                <w:color w:val="0C0C0C"/>
                <w:sz w:val="21"/>
                <w:szCs w:val="21"/>
                <w:highlight w:val="none"/>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三、资产负债状况和营业收入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C0C0C"/>
          <w:sz w:val="32"/>
          <w:szCs w:val="32"/>
          <w:u w:val="none"/>
          <w:lang w:eastAsia="zh-CN"/>
        </w:rPr>
      </w:pPr>
      <w:r>
        <w:rPr>
          <w:rFonts w:hint="eastAsia" w:ascii="仿宋" w:hAnsi="仿宋" w:eastAsia="仿宋" w:cs="仿宋"/>
          <w:color w:val="0C0C0C"/>
          <w:sz w:val="32"/>
          <w:szCs w:val="32"/>
          <w:u w:val="none"/>
          <w:lang w:eastAsia="zh-CN"/>
        </w:rPr>
        <w:t>2023年末，全市第二产业和第三产业法人单位资产总计1374.17亿元，比2018年末增加499.11亿元，增长57.04%。其中，第二产业法人单位资产总计173.66亿元，增加102.12亿元，增长142.75%；第三产业法人单位资产总计1200.51亿元，增加396.99亿元，增长49.41%。</w:t>
      </w:r>
    </w:p>
    <w:p>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C0C0C"/>
          <w:sz w:val="32"/>
          <w:szCs w:val="32"/>
          <w:u w:val="none"/>
          <w:lang w:eastAsia="zh-CN"/>
        </w:rPr>
      </w:pPr>
      <w:r>
        <w:rPr>
          <w:rFonts w:hint="eastAsia" w:ascii="仿宋" w:hAnsi="仿宋" w:eastAsia="仿宋" w:cs="仿宋"/>
          <w:color w:val="0C0C0C"/>
          <w:sz w:val="32"/>
          <w:szCs w:val="32"/>
          <w:u w:val="none"/>
          <w:lang w:eastAsia="zh-CN"/>
        </w:rPr>
        <w:t>2023年末，全市第二产业和第三产业法人单位负债合计761.41亿元，比2018年末增加230.25亿元，增长43.35%。其中，第二产业法人单位负债合计108.27亿元，增加57.72亿元，增长114.18%；第三产业法人单位负债合计653.14亿元，增加172.53亿元，增长35.90%。</w:t>
      </w:r>
    </w:p>
    <w:p>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sz w:val="32"/>
          <w:szCs w:val="32"/>
          <w:lang w:val="en-US" w:eastAsia="zh-CN"/>
        </w:rPr>
      </w:pPr>
      <w:r>
        <w:rPr>
          <w:rFonts w:hint="eastAsia" w:ascii="仿宋" w:hAnsi="仿宋" w:eastAsia="仿宋" w:cs="仿宋"/>
          <w:color w:val="0C0C0C"/>
          <w:sz w:val="32"/>
          <w:szCs w:val="32"/>
          <w:u w:val="none"/>
          <w:lang w:eastAsia="zh-CN"/>
        </w:rPr>
        <w:t>2023年，全市第二产业和第三产业企业法人单位实现营业收入491.66亿元，比2018年增加365.93亿元，增长290.97%。其中，第二产业营业收入151.24亿元，增加102.31亿元，增长209.09%；第三产业营业收入340.42亿元，增加263.62亿元，增长343.26%。（详见表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default"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表2-4　按行业门类分组的单位主要经济指标</w:t>
      </w:r>
    </w:p>
    <w:tbl>
      <w:tblPr>
        <w:tblStyle w:val="6"/>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29"/>
        <w:gridCol w:w="1343"/>
        <w:gridCol w:w="1343"/>
        <w:gridCol w:w="15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2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p>
        </w:tc>
        <w:tc>
          <w:tcPr>
            <w:tcW w:w="80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80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95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2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4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1374.17</w:t>
            </w:r>
          </w:p>
        </w:tc>
        <w:tc>
          <w:tcPr>
            <w:tcW w:w="134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761.41</w:t>
            </w:r>
          </w:p>
        </w:tc>
        <w:tc>
          <w:tcPr>
            <w:tcW w:w="1588"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491.66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0"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r>
              <w:rPr>
                <w:rFonts w:hint="default" w:ascii="Times New Roman" w:hAnsi="Times New Roman" w:eastAsia="宋体" w:cs="宋体"/>
                <w:color w:val="0C0C0C"/>
                <w:kern w:val="0"/>
                <w:sz w:val="21"/>
                <w:szCs w:val="21"/>
                <w:highlight w:val="none"/>
                <w:lang w:val="en" w:eastAsia="zh-CN" w:bidi="ar"/>
              </w:rPr>
              <w:t>*</w:t>
            </w:r>
          </w:p>
        </w:tc>
        <w:tc>
          <w:tcPr>
            <w:tcW w:w="80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w:t>
            </w:r>
          </w:p>
        </w:tc>
        <w:tc>
          <w:tcPr>
            <w:tcW w:w="80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3.4</w:t>
            </w:r>
          </w:p>
        </w:tc>
        <w:tc>
          <w:tcPr>
            <w:tcW w:w="95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809"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9.5</w:t>
            </w:r>
          </w:p>
        </w:tc>
        <w:tc>
          <w:tcPr>
            <w:tcW w:w="809"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6.1</w:t>
            </w:r>
          </w:p>
        </w:tc>
        <w:tc>
          <w:tcPr>
            <w:tcW w:w="953" w:type="pct"/>
            <w:tcBorders>
              <w:top w:val="nil"/>
              <w:left w:val="single" w:color="auto" w:sz="4" w:space="0"/>
              <w:bottom w:val="nil"/>
              <w:right w:val="nil"/>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809"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96.1</w:t>
            </w:r>
          </w:p>
        </w:tc>
        <w:tc>
          <w:tcPr>
            <w:tcW w:w="809"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61.8</w:t>
            </w:r>
          </w:p>
        </w:tc>
        <w:tc>
          <w:tcPr>
            <w:tcW w:w="953" w:type="pct"/>
            <w:tcBorders>
              <w:top w:val="nil"/>
              <w:left w:val="single" w:color="auto" w:sz="4" w:space="0"/>
              <w:bottom w:val="nil"/>
              <w:right w:val="nil"/>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110.5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809"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38.5</w:t>
            </w:r>
          </w:p>
        </w:tc>
        <w:tc>
          <w:tcPr>
            <w:tcW w:w="809"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24.1</w:t>
            </w:r>
          </w:p>
        </w:tc>
        <w:tc>
          <w:tcPr>
            <w:tcW w:w="953" w:type="pct"/>
            <w:tcBorders>
              <w:top w:val="nil"/>
              <w:left w:val="single" w:color="auto" w:sz="4" w:space="0"/>
              <w:bottom w:val="nil"/>
              <w:right w:val="nil"/>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13.9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29.56</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16.27</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25.64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80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102.46</w:t>
            </w:r>
          </w:p>
        </w:tc>
        <w:tc>
          <w:tcPr>
            <w:tcW w:w="80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95.56</w:t>
            </w:r>
          </w:p>
        </w:tc>
        <w:tc>
          <w:tcPr>
            <w:tcW w:w="95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3.28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2.91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80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25.73</w:t>
            </w:r>
          </w:p>
        </w:tc>
        <w:tc>
          <w:tcPr>
            <w:tcW w:w="80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26.83</w:t>
            </w:r>
          </w:p>
        </w:tc>
        <w:tc>
          <w:tcPr>
            <w:tcW w:w="953"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0.47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0.23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0.62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175.64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 xml:space="preserve">-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4.77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600.23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440.19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64.43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24.53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11.76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25.85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7.14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2.47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0.95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5.65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4.11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0.51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0.71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0.35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0.56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12.48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1.04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0.46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13.71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4.89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1.14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30.73 </w:t>
            </w:r>
          </w:p>
        </w:tc>
        <w:tc>
          <w:tcPr>
            <w:tcW w:w="13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35.62 </w:t>
            </w:r>
          </w:p>
        </w:tc>
        <w:tc>
          <w:tcPr>
            <w:tcW w:w="158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0.81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2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4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 xml:space="preserve">192.65 </w:t>
            </w:r>
          </w:p>
        </w:tc>
        <w:tc>
          <w:tcPr>
            <w:tcW w:w="134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23.78 </w:t>
            </w:r>
          </w:p>
        </w:tc>
        <w:tc>
          <w:tcPr>
            <w:tcW w:w="158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default"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5000" w:type="pct"/>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ascii="Times New Roman" w:hAnsi="Times New Roman" w:eastAsia="宋体" w:cs="Times New Roman"/>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color w:val="0C0C0C"/>
          <w:sz w:val="32"/>
          <w:szCs w:val="32"/>
          <w:highlight w:val="none"/>
        </w:rPr>
      </w:pPr>
      <w:r>
        <w:rPr>
          <w:rFonts w:hint="eastAsia" w:ascii="仿宋" w:hAnsi="仿宋" w:eastAsia="仿宋" w:cs="仿宋"/>
          <w:b w:val="0"/>
          <w:bCs/>
          <w:i w:val="0"/>
          <w:caps w:val="0"/>
          <w:color w:val="0C0C0C"/>
          <w:spacing w:val="0"/>
          <w:kern w:val="0"/>
          <w:sz w:val="32"/>
          <w:szCs w:val="32"/>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[1]三次产业的划分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第一产业是指农、林、牧、渔业（不含农、林、牧、渔专业及辅助性活动）；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第二产业是指采矿业（不含开采专业及辅助性活动），制造业（不含金属制品、机械和设备修理业），电力、热力、燃气及水生产和供应业，建筑业；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xml:space="preserve">    [2]单位的划分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xml:space="preserve">    （1）依法成立，有自己的名称、组织机构和场所，能够独立承担负债和其他民事责任；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xml:space="preserve">    （2）独立拥有和使用（或者授权使用）资产，有权与其他单位签订合同；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xml:space="preserve">    （3）会计上独立核算，能够编制资产负债表等会计报表。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法人单位包括企业法人、事业单位法人、机关法人、社会团体法人、其他法人等。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C0C0C"/>
          <w:sz w:val="32"/>
          <w:szCs w:val="32"/>
          <w:highlight w:val="none"/>
        </w:rPr>
      </w:pPr>
      <w:r>
        <w:rPr>
          <w:rFonts w:hint="eastAsia" w:ascii="仿宋" w:hAnsi="仿宋" w:eastAsia="仿宋" w:cs="仿宋"/>
          <w:i w:val="0"/>
          <w:caps w:val="0"/>
          <w:color w:val="0C0C0C"/>
          <w:spacing w:val="0"/>
          <w:kern w:val="0"/>
          <w:sz w:val="32"/>
          <w:szCs w:val="32"/>
          <w:highlight w:val="none"/>
          <w:lang w:val="en-US" w:eastAsia="zh-CN" w:bidi="ar"/>
        </w:rPr>
        <w:t>　　产业活动单位是指位于一个地点，从事一种或主要从事一种社会经济活动的组织或者组织的一部分。产业活动单位应同时具备以下条件：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i w:val="0"/>
          <w:caps w:val="0"/>
          <w:color w:val="0C0C0C"/>
          <w:spacing w:val="0"/>
          <w:kern w:val="0"/>
          <w:sz w:val="32"/>
          <w:szCs w:val="32"/>
          <w:highlight w:val="none"/>
          <w:lang w:val="en-US" w:eastAsia="zh-CN" w:bidi="ar"/>
        </w:rPr>
      </w:pPr>
      <w:r>
        <w:rPr>
          <w:rFonts w:hint="eastAsia" w:ascii="仿宋" w:hAnsi="仿宋" w:eastAsia="仿宋" w:cs="仿宋"/>
          <w:i w:val="0"/>
          <w:caps w:val="0"/>
          <w:color w:val="0C0C0C"/>
          <w:spacing w:val="0"/>
          <w:kern w:val="0"/>
          <w:sz w:val="32"/>
          <w:szCs w:val="32"/>
          <w:highlight w:val="none"/>
          <w:lang w:val="en-US" w:eastAsia="zh-CN" w:bidi="ar"/>
        </w:rPr>
        <w:t xml:space="preserve">    （1）在一个场所从事一种或者主要从事一种社会经济活动；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i w:val="0"/>
          <w:caps w:val="0"/>
          <w:color w:val="0C0C0C"/>
          <w:spacing w:val="0"/>
          <w:kern w:val="0"/>
          <w:sz w:val="32"/>
          <w:szCs w:val="32"/>
          <w:highlight w:val="none"/>
          <w:lang w:val="en-US" w:eastAsia="zh-CN" w:bidi="ar"/>
        </w:rPr>
      </w:pPr>
      <w:r>
        <w:rPr>
          <w:rFonts w:hint="eastAsia" w:ascii="仿宋" w:hAnsi="仿宋" w:eastAsia="仿宋" w:cs="仿宋"/>
          <w:i w:val="0"/>
          <w:caps w:val="0"/>
          <w:color w:val="0C0C0C"/>
          <w:spacing w:val="0"/>
          <w:kern w:val="0"/>
          <w:sz w:val="32"/>
          <w:szCs w:val="32"/>
          <w:highlight w:val="none"/>
          <w:lang w:val="en-US" w:eastAsia="zh-CN" w:bidi="ar"/>
        </w:rPr>
        <w:t xml:space="preserve">    （2）相对独立地组织生产活动或经营活动；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i w:val="0"/>
          <w:caps w:val="0"/>
          <w:color w:val="0C0C0C"/>
          <w:spacing w:val="0"/>
          <w:kern w:val="0"/>
          <w:sz w:val="32"/>
          <w:szCs w:val="32"/>
          <w:highlight w:val="none"/>
          <w:lang w:val="en-US" w:eastAsia="zh-CN" w:bidi="ar"/>
        </w:rPr>
      </w:pPr>
      <w:r>
        <w:rPr>
          <w:rFonts w:hint="eastAsia" w:ascii="仿宋" w:hAnsi="仿宋" w:eastAsia="仿宋" w:cs="仿宋"/>
          <w:i w:val="0"/>
          <w:caps w:val="0"/>
          <w:color w:val="0C0C0C"/>
          <w:spacing w:val="0"/>
          <w:kern w:val="0"/>
          <w:sz w:val="32"/>
          <w:szCs w:val="32"/>
          <w:highlight w:val="none"/>
          <w:lang w:val="en-US" w:eastAsia="zh-CN" w:bidi="ar"/>
        </w:rPr>
        <w:t xml:space="preserve">    （3）能提供收入或者支出等相关资料。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仿宋" w:hAnsi="仿宋" w:eastAsia="仿宋" w:cs="仿宋"/>
          <w:i w:val="0"/>
          <w:caps w:val="0"/>
          <w:color w:val="0C0C0C"/>
          <w:spacing w:val="0"/>
          <w:kern w:val="0"/>
          <w:sz w:val="32"/>
          <w:szCs w:val="32"/>
          <w:highlight w:val="none"/>
          <w:lang w:val="en-US" w:eastAsia="zh-CN" w:bidi="ar"/>
        </w:rPr>
        <w:t xml:space="preserve">    [3]表中的合计数和部分计算数据因小数取舍而产生的误差，均未作机械调整。为保证数据精确度，个别数据保留2位小数。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A1CB0"/>
    <w:rsid w:val="02FF31B6"/>
    <w:rsid w:val="0AC27E84"/>
    <w:rsid w:val="0CCF7B47"/>
    <w:rsid w:val="0D9A1CB0"/>
    <w:rsid w:val="0F5534F2"/>
    <w:rsid w:val="10E47F15"/>
    <w:rsid w:val="15D05A07"/>
    <w:rsid w:val="18BD4B8E"/>
    <w:rsid w:val="1CC7573F"/>
    <w:rsid w:val="21676E17"/>
    <w:rsid w:val="31FA3471"/>
    <w:rsid w:val="4DEF101D"/>
    <w:rsid w:val="599025FC"/>
    <w:rsid w:val="5DD00199"/>
    <w:rsid w:val="63A73691"/>
    <w:rsid w:val="67D84910"/>
    <w:rsid w:val="6A4C217A"/>
    <w:rsid w:val="7EF6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note text"/>
    <w:unhideWhenUsed/>
    <w:qFormat/>
    <w:uiPriority w:val="99"/>
    <w:pPr>
      <w:widowControl w:val="0"/>
      <w:snapToGrid w:val="0"/>
      <w:spacing w:line="588" w:lineRule="exact"/>
      <w:ind w:firstLine="200" w:firstLineChars="200"/>
      <w:jc w:val="left"/>
      <w:textAlignment w:val="center"/>
    </w:pPr>
    <w:rPr>
      <w:rFonts w:ascii="Times New Roman" w:hAnsi="Times New Roman" w:eastAsia="方正仿宋_GBK" w:cs="Times New Roman"/>
      <w:kern w:val="2"/>
      <w:sz w:val="18"/>
      <w:szCs w:val="22"/>
      <w:lang w:val="en-US" w:eastAsia="zh-CN" w:bidi="ar-SA"/>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610</Words>
  <Characters>782</Characters>
  <Lines>0</Lines>
  <Paragraphs>0</Paragraphs>
  <TotalTime>0</TotalTime>
  <ScaleCrop>false</ScaleCrop>
  <LinksUpToDate>false</LinksUpToDate>
  <CharactersWithSpaces>802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2025-06-02T15:01:00Z</dcterms:created>
  <dc:creator>不忘初心</dc:creator>
  <cp:lastModifiedBy>市统计局收发员</cp:lastModifiedBy>
  <dcterms:modified xsi:type="dcterms:W3CDTF">2025-07-24T03:23:21Z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005C70269E5E4C048118098D77991E32_11</vt:lpwstr>
  </property>
  <property fmtid="{D5CDD505-2E9C-101B-9397-08002B2CF9AE}" pid="4" name="KSOTemplateDocerSaveRecord">
    <vt:lpwstr>eyJoZGlkIjoiN2I1M2VhZjk5MzU1YTA2YmI1ZmQ4YmJlMGY5NzQ2NjYiLCJ1c2VySWQiOiIyNjkyMTIzMDYifQ==</vt:lpwstr>
  </property>
</Properties>
</file>