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r>
        <w:rPr>
          <w:rFonts w:hint="eastAsia" w:eastAsia="方正小标宋_GBK" w:cs="Times New Roman"/>
          <w:bCs/>
          <w:color w:val="0C0C0C"/>
          <w:kern w:val="0"/>
          <w:sz w:val="44"/>
          <w:szCs w:val="44"/>
          <w:highlight w:val="none"/>
          <w:shd w:val="clear" w:color="auto" w:fill="FFFFFF"/>
          <w:lang w:val="en-US" w:eastAsia="zh-CN" w:bidi="ar"/>
        </w:rPr>
        <w:t>万宁市第五次全国经济普查公报（第五号）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r>
        <w:rPr>
          <w:rFonts w:hint="eastAsia" w:eastAsia="方正小标宋_GBK" w:cs="Times New Roman"/>
          <w:bCs/>
          <w:color w:val="0C0C0C"/>
          <w:kern w:val="0"/>
          <w:sz w:val="44"/>
          <w:szCs w:val="44"/>
          <w:highlight w:val="none"/>
          <w:shd w:val="clear" w:color="auto" w:fill="FFFFFF"/>
          <w:lang w:val="en-US" w:eastAsia="zh-CN" w:bidi="ar"/>
        </w:rPr>
        <w:t>——第三产业基本情况之二</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万宁市统计局</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万宁市第五次全国经济普查领导小组办公室</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w:t>
      </w:r>
      <w:r>
        <w:rPr>
          <w:rFonts w:hint="default" w:ascii="方正楷体_GBK" w:hAnsi="方正楷体_GBK" w:eastAsia="方正楷体_GBK" w:cs="方正楷体_GBK"/>
          <w:color w:val="0C0C0C"/>
          <w:kern w:val="2"/>
          <w:sz w:val="32"/>
          <w:szCs w:val="32"/>
          <w:highlight w:val="none"/>
          <w:lang w:val="en-US" w:eastAsia="zh-CN" w:bidi="ar-SA"/>
        </w:rPr>
        <w:t>202</w:t>
      </w:r>
      <w:r>
        <w:rPr>
          <w:rFonts w:hint="eastAsia" w:ascii="方正楷体_GBK" w:hAnsi="方正楷体_GBK" w:eastAsia="方正楷体_GBK" w:cs="方正楷体_GBK"/>
          <w:color w:val="0C0C0C"/>
          <w:kern w:val="2"/>
          <w:sz w:val="32"/>
          <w:szCs w:val="32"/>
          <w:highlight w:val="none"/>
          <w:lang w:val="en-US" w:eastAsia="zh-CN" w:bidi="ar-SA"/>
        </w:rPr>
        <w:t>5</w:t>
      </w:r>
      <w:r>
        <w:rPr>
          <w:rFonts w:hint="default" w:ascii="方正楷体_GBK" w:hAnsi="方正楷体_GBK" w:eastAsia="方正楷体_GBK" w:cs="方正楷体_GBK"/>
          <w:color w:val="0C0C0C"/>
          <w:kern w:val="2"/>
          <w:sz w:val="32"/>
          <w:szCs w:val="32"/>
          <w:highlight w:val="none"/>
          <w:lang w:val="en-US" w:eastAsia="zh-CN" w:bidi="ar-SA"/>
        </w:rPr>
        <w:t>年</w:t>
      </w:r>
      <w:r>
        <w:rPr>
          <w:rFonts w:hint="eastAsia" w:ascii="方正楷体_GBK" w:hAnsi="方正楷体_GBK" w:eastAsia="方正楷体_GBK" w:cs="方正楷体_GBK"/>
          <w:color w:val="0C0C0C"/>
          <w:kern w:val="2"/>
          <w:sz w:val="32"/>
          <w:szCs w:val="32"/>
          <w:highlight w:val="none"/>
          <w:lang w:val="en-US" w:eastAsia="zh-CN" w:bidi="ar-SA"/>
        </w:rPr>
        <w:t>5</w:t>
      </w:r>
      <w:bookmarkStart w:id="0" w:name="_GoBack"/>
      <w:bookmarkEnd w:id="0"/>
      <w:r>
        <w:rPr>
          <w:rFonts w:hint="default" w:ascii="方正楷体_GBK" w:hAnsi="方正楷体_GBK" w:eastAsia="方正楷体_GBK" w:cs="方正楷体_GBK"/>
          <w:color w:val="0C0C0C"/>
          <w:kern w:val="2"/>
          <w:sz w:val="32"/>
          <w:szCs w:val="32"/>
          <w:highlight w:val="none"/>
          <w:lang w:val="en-US" w:eastAsia="zh-CN" w:bidi="ar-SA"/>
        </w:rPr>
        <w:t>月</w:t>
      </w:r>
      <w:r>
        <w:rPr>
          <w:rFonts w:hint="eastAsia" w:ascii="方正楷体_GBK" w:hAnsi="方正楷体_GBK" w:eastAsia="方正楷体_GBK" w:cs="方正楷体_GBK"/>
          <w:color w:val="0C0C0C"/>
          <w:kern w:val="2"/>
          <w:sz w:val="32"/>
          <w:szCs w:val="32"/>
          <w:highlight w:val="none"/>
          <w:lang w:val="en-US" w:eastAsia="zh-CN" w:bidi="ar-SA"/>
        </w:rPr>
        <w:t>30</w:t>
      </w:r>
      <w:r>
        <w:rPr>
          <w:rFonts w:hint="default" w:ascii="方正楷体_GBK" w:hAnsi="方正楷体_GBK" w:eastAsia="方正楷体_GBK" w:cs="方正楷体_GBK"/>
          <w:color w:val="0C0C0C"/>
          <w:kern w:val="2"/>
          <w:sz w:val="32"/>
          <w:szCs w:val="32"/>
          <w:highlight w:val="none"/>
          <w:lang w:val="en-US" w:eastAsia="zh-CN" w:bidi="ar-SA"/>
        </w:rPr>
        <w:t>日</w:t>
      </w:r>
      <w:r>
        <w:rPr>
          <w:rFonts w:hint="eastAsia" w:ascii="方正楷体_GBK" w:hAnsi="方正楷体_GBK" w:eastAsia="方正楷体_GBK" w:cs="方正楷体_GBK"/>
          <w:color w:val="0C0C0C"/>
          <w:kern w:val="2"/>
          <w:sz w:val="32"/>
          <w:szCs w:val="32"/>
          <w:highlight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C0C0C"/>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根据第五次全国经济普查结果，现将我市第三产业中科学研究和技术服务业，水利、环境和公共设施管理业，居民服务、修理和其他服务业，教育，卫生和社会工作，文化、体育和娱乐业，公共管理、社会保障和社会组织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i w:val="0"/>
          <w:caps w:val="0"/>
          <w:color w:val="0C0C0C"/>
          <w:spacing w:val="0"/>
          <w:sz w:val="32"/>
          <w:szCs w:val="32"/>
          <w:highlight w:val="none"/>
        </w:rPr>
      </w:pPr>
      <w:r>
        <w:rPr>
          <w:rFonts w:hint="eastAsia" w:ascii="仿宋" w:hAnsi="仿宋" w:eastAsia="仿宋" w:cs="仿宋"/>
          <w:b w:val="0"/>
          <w:bCs/>
          <w:i w:val="0"/>
          <w:caps w:val="0"/>
          <w:color w:val="0C0C0C"/>
          <w:spacing w:val="0"/>
          <w:kern w:val="0"/>
          <w:sz w:val="32"/>
          <w:szCs w:val="32"/>
          <w:highlight w:val="none"/>
          <w:lang w:val="en-US" w:eastAsia="zh-CN" w:bidi="ar"/>
        </w:rPr>
        <w:t xml:space="preserve">   </w:t>
      </w:r>
      <w:r>
        <w:rPr>
          <w:rFonts w:hint="eastAsia" w:ascii="黑体" w:hAnsi="黑体" w:eastAsia="黑体" w:cs="黑体"/>
          <w:b w:val="0"/>
          <w:bCs/>
          <w:i w:val="0"/>
          <w:caps w:val="0"/>
          <w:color w:val="0C0C0C"/>
          <w:spacing w:val="0"/>
          <w:kern w:val="0"/>
          <w:sz w:val="32"/>
          <w:szCs w:val="32"/>
          <w:highlight w:val="none"/>
          <w:lang w:val="en-US" w:eastAsia="zh-CN" w:bidi="ar"/>
        </w:rPr>
        <w:t xml:space="preserve"> 一、科学研究和技术服务业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黑体" w:hAnsi="黑体" w:eastAsia="黑体" w:cs="黑体"/>
          <w:i w:val="0"/>
          <w:caps w:val="0"/>
          <w:color w:val="0C0C0C"/>
          <w:spacing w:val="0"/>
          <w:kern w:val="0"/>
          <w:sz w:val="32"/>
          <w:szCs w:val="32"/>
          <w:highlight w:val="none"/>
          <w:lang w:val="en-US" w:eastAsia="zh-CN" w:bidi="ar"/>
        </w:rPr>
        <w:t xml:space="preserve"> </w:t>
      </w:r>
      <w:r>
        <w:rPr>
          <w:rFonts w:hint="eastAsia" w:ascii="楷体" w:hAnsi="楷体" w:eastAsia="楷体" w:cs="楷体"/>
          <w:i w:val="0"/>
          <w:caps w:val="0"/>
          <w:color w:val="0C0C0C"/>
          <w:spacing w:val="0"/>
          <w:kern w:val="0"/>
          <w:sz w:val="32"/>
          <w:szCs w:val="32"/>
          <w:highlight w:val="none"/>
          <w:lang w:val="en-US" w:eastAsia="zh-CN" w:bidi="ar"/>
        </w:rPr>
        <w:t xml:space="preserve">   （一）法人单位数和从业人员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z w:val="32"/>
          <w:szCs w:val="32"/>
          <w:lang w:val="en-US" w:eastAsia="zh-CN"/>
        </w:rPr>
      </w:pPr>
      <w:r>
        <w:rPr>
          <w:rFonts w:hint="eastAsia" w:ascii="仿宋" w:hAnsi="仿宋" w:eastAsia="仿宋" w:cs="仿宋"/>
          <w:color w:val="0C0C0C"/>
          <w:spacing w:val="-6"/>
          <w:kern w:val="2"/>
          <w:sz w:val="32"/>
          <w:szCs w:val="32"/>
          <w:u w:val="none"/>
          <w:lang w:val="en-US" w:eastAsia="zh-CN" w:bidi="ar-SA"/>
        </w:rPr>
        <w:t>2023年末，全市共有科学研究和技术服务业法人单位193个，从业人员</w:t>
      </w:r>
      <w:r>
        <w:rPr>
          <w:rFonts w:hint="eastAsia" w:ascii="仿宋" w:hAnsi="仿宋" w:eastAsia="仿宋" w:cs="仿宋"/>
          <w:color w:val="0C0C0C"/>
          <w:sz w:val="32"/>
          <w:szCs w:val="32"/>
          <w:u w:val="none"/>
          <w:lang w:val="en-US" w:eastAsia="zh-CN"/>
        </w:rPr>
        <w:t>1308</w:t>
      </w:r>
      <w:r>
        <w:rPr>
          <w:rFonts w:hint="eastAsia" w:ascii="仿宋" w:hAnsi="仿宋" w:eastAsia="仿宋" w:cs="仿宋"/>
          <w:color w:val="0C0C0C"/>
          <w:spacing w:val="-6"/>
          <w:kern w:val="2"/>
          <w:sz w:val="32"/>
          <w:szCs w:val="32"/>
          <w:u w:val="none"/>
          <w:lang w:val="en-US" w:eastAsia="zh-CN" w:bidi="ar-SA"/>
        </w:rPr>
        <w:t>人，分别比2018年末增长</w:t>
      </w:r>
      <w:r>
        <w:rPr>
          <w:rFonts w:hint="eastAsia" w:ascii="仿宋" w:hAnsi="仿宋" w:eastAsia="仿宋" w:cs="仿宋"/>
          <w:color w:val="0C0C0C"/>
          <w:sz w:val="32"/>
          <w:szCs w:val="32"/>
          <w:u w:val="none"/>
          <w:lang w:val="en-US" w:eastAsia="zh-CN"/>
        </w:rPr>
        <w:t>421.62</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365.48</w:t>
      </w:r>
      <w:r>
        <w:rPr>
          <w:rFonts w:hint="eastAsia" w:ascii="仿宋" w:hAnsi="仿宋" w:eastAsia="仿宋" w:cs="仿宋"/>
          <w:color w:val="0C0C0C"/>
          <w:spacing w:val="-6"/>
          <w:kern w:val="2"/>
          <w:sz w:val="32"/>
          <w:szCs w:val="32"/>
          <w:u w:val="none"/>
          <w:lang w:val="en-US" w:eastAsia="zh-CN" w:bidi="ar-SA"/>
        </w:rPr>
        <w:t>%。其中，</w:t>
      </w:r>
      <w:r>
        <w:rPr>
          <w:rFonts w:hint="eastAsia" w:ascii="仿宋" w:hAnsi="仿宋" w:eastAsia="仿宋" w:cs="仿宋"/>
          <w:color w:val="0C0C0C"/>
          <w:sz w:val="32"/>
          <w:szCs w:val="32"/>
          <w:u w:val="none"/>
          <w:lang w:val="en-US" w:eastAsia="zh-CN"/>
        </w:rPr>
        <w:t>企业法人单位185个</w:t>
      </w:r>
      <w:r>
        <w:rPr>
          <w:rFonts w:hint="eastAsia" w:ascii="仿宋" w:hAnsi="仿宋" w:eastAsia="仿宋" w:cs="仿宋"/>
          <w:color w:val="0C0C0C"/>
          <w:spacing w:val="-6"/>
          <w:kern w:val="2"/>
          <w:sz w:val="32"/>
          <w:szCs w:val="32"/>
          <w:u w:val="none"/>
          <w:lang w:val="en-US" w:eastAsia="zh-CN" w:bidi="ar-SA"/>
        </w:rPr>
        <w:t>，从业人员</w:t>
      </w:r>
      <w:r>
        <w:rPr>
          <w:rFonts w:hint="eastAsia" w:ascii="仿宋" w:hAnsi="仿宋" w:eastAsia="仿宋" w:cs="仿宋"/>
          <w:color w:val="0C0C0C"/>
          <w:sz w:val="32"/>
          <w:szCs w:val="32"/>
          <w:u w:val="none"/>
          <w:lang w:val="en-US" w:eastAsia="zh-CN"/>
        </w:rPr>
        <w:t>970</w:t>
      </w:r>
      <w:r>
        <w:rPr>
          <w:rFonts w:hint="eastAsia" w:ascii="仿宋" w:hAnsi="仿宋" w:eastAsia="仿宋" w:cs="仿宋"/>
          <w:color w:val="0C0C0C"/>
          <w:spacing w:val="-6"/>
          <w:kern w:val="2"/>
          <w:sz w:val="32"/>
          <w:szCs w:val="32"/>
          <w:u w:val="none"/>
          <w:lang w:val="en-US" w:eastAsia="zh-CN" w:bidi="ar-SA"/>
        </w:rPr>
        <w:t>人，分别比2018年末增长</w:t>
      </w:r>
      <w:r>
        <w:rPr>
          <w:rFonts w:hint="eastAsia" w:ascii="仿宋" w:hAnsi="仿宋" w:eastAsia="仿宋" w:cs="仿宋"/>
          <w:color w:val="0C0C0C"/>
          <w:sz w:val="32"/>
          <w:szCs w:val="32"/>
          <w:u w:val="none"/>
          <w:lang w:val="en-US" w:eastAsia="zh-CN"/>
        </w:rPr>
        <w:t>400</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245.19</w:t>
      </w:r>
      <w:r>
        <w:rPr>
          <w:rFonts w:hint="eastAsia" w:ascii="仿宋" w:hAnsi="仿宋" w:eastAsia="仿宋" w:cs="仿宋"/>
          <w:color w:val="0C0C0C"/>
          <w:spacing w:val="-6"/>
          <w:kern w:val="2"/>
          <w:sz w:val="32"/>
          <w:szCs w:val="32"/>
          <w:u w:val="none"/>
          <w:lang w:val="en-US" w:eastAsia="zh-CN" w:bidi="ar-SA"/>
        </w:rPr>
        <w:t>%（详见表5-1）。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pPr>
      <w:r>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t>表5-1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pPr>
      <w:r>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t>企业法人单位数和从业人员</w:t>
      </w: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86"/>
        <w:gridCol w:w="2964"/>
        <w:gridCol w:w="24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94" w:hRule="atLeast"/>
          <w:jc w:val="center"/>
        </w:trPr>
        <w:tc>
          <w:tcPr>
            <w:tcW w:w="305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56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人</w:t>
            </w:r>
            <w:r>
              <w:rPr>
                <w:rFonts w:hint="eastAsia" w:ascii="Times New Roman" w:hAnsi="Times New Roman" w:eastAsia="宋体" w:cs="宋体"/>
                <w:b/>
                <w:bCs/>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310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185</w:t>
            </w:r>
          </w:p>
        </w:tc>
        <w:tc>
          <w:tcPr>
            <w:tcW w:w="256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31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w:t>
            </w:r>
          </w:p>
        </w:tc>
        <w:tc>
          <w:tcPr>
            <w:tcW w:w="256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31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90</w:t>
            </w:r>
          </w:p>
        </w:tc>
        <w:tc>
          <w:tcPr>
            <w:tcW w:w="256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92</w:t>
            </w:r>
          </w:p>
        </w:tc>
        <w:tc>
          <w:tcPr>
            <w:tcW w:w="256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329</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在科学研究和技术服务业企业法人单位从业人员中，内资企业占</w:t>
      </w:r>
      <w:r>
        <w:rPr>
          <w:rFonts w:hint="eastAsia" w:ascii="仿宋" w:hAnsi="仿宋" w:eastAsia="仿宋" w:cs="仿宋"/>
          <w:color w:val="0C0C0C"/>
          <w:sz w:val="32"/>
          <w:szCs w:val="32"/>
          <w:u w:val="none"/>
          <w:lang w:val="en-US" w:eastAsia="zh-CN"/>
        </w:rPr>
        <w:t>97.32</w:t>
      </w:r>
      <w:r>
        <w:rPr>
          <w:rFonts w:hint="eastAsia" w:ascii="仿宋" w:hAnsi="仿宋" w:eastAsia="仿宋" w:cs="仿宋"/>
          <w:color w:val="0C0C0C"/>
          <w:spacing w:val="-6"/>
          <w:kern w:val="2"/>
          <w:sz w:val="32"/>
          <w:szCs w:val="32"/>
          <w:u w:val="none"/>
          <w:lang w:val="en-US" w:eastAsia="zh-CN" w:bidi="ar-SA"/>
        </w:rPr>
        <w:t>%，其他企业占</w:t>
      </w:r>
      <w:r>
        <w:rPr>
          <w:rFonts w:hint="eastAsia" w:ascii="仿宋" w:hAnsi="仿宋" w:eastAsia="仿宋" w:cs="仿宋"/>
          <w:color w:val="0C0C0C"/>
          <w:sz w:val="32"/>
          <w:szCs w:val="32"/>
          <w:u w:val="none"/>
          <w:lang w:val="en-US" w:eastAsia="zh-CN"/>
        </w:rPr>
        <w:t>2.68</w:t>
      </w:r>
      <w:r>
        <w:rPr>
          <w:rFonts w:hint="eastAsia" w:ascii="仿宋" w:hAnsi="仿宋" w:eastAsia="仿宋" w:cs="仿宋"/>
          <w:color w:val="0C0C0C"/>
          <w:spacing w:val="-6"/>
          <w:kern w:val="2"/>
          <w:sz w:val="32"/>
          <w:szCs w:val="32"/>
          <w:u w:val="none"/>
          <w:lang w:val="en-US" w:eastAsia="zh-CN" w:bidi="ar-SA"/>
        </w:rPr>
        <w:t>%（详见表5-2）</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pPr>
      <w:r>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t>表5-2　按登记注册统计类别分组的科学研究和技术服务业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pPr>
      <w:r>
        <w:rPr>
          <w:rFonts w:hint="eastAsia" w:asciiTheme="majorEastAsia" w:hAnsiTheme="majorEastAsia" w:eastAsiaTheme="majorEastAsia" w:cstheme="majorEastAsia"/>
          <w:b/>
          <w:i w:val="0"/>
          <w:caps w:val="0"/>
          <w:color w:val="0C0C0C"/>
          <w:spacing w:val="0"/>
          <w:kern w:val="0"/>
          <w:sz w:val="24"/>
          <w:szCs w:val="24"/>
          <w:highlight w:val="none"/>
          <w:lang w:val="en-US" w:eastAsia="zh-CN" w:bidi="ar"/>
        </w:rPr>
        <w:t>企业法人单位数和从业人员</w:t>
      </w:r>
    </w:p>
    <w:tbl>
      <w:tblPr>
        <w:tblStyle w:val="5"/>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08"/>
        <w:gridCol w:w="2806"/>
        <w:gridCol w:w="22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8" w:hRule="atLeast"/>
          <w:jc w:val="center"/>
        </w:trPr>
        <w:tc>
          <w:tcPr>
            <w:tcW w:w="193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7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8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185</w:t>
            </w:r>
          </w:p>
        </w:tc>
        <w:tc>
          <w:tcPr>
            <w:tcW w:w="1378"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8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179</w:t>
            </w:r>
          </w:p>
        </w:tc>
        <w:tc>
          <w:tcPr>
            <w:tcW w:w="137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eastAsia="宋体" w:cs="宋体"/>
                <w:b w:val="0"/>
                <w:bCs/>
                <w:color w:val="0C0C0C"/>
                <w:kern w:val="0"/>
                <w:sz w:val="21"/>
                <w:szCs w:val="21"/>
                <w:highlight w:val="none"/>
                <w:lang w:val="en" w:eastAsia="zh-CN" w:bidi="ar"/>
              </w:rPr>
              <w:t>其他</w:t>
            </w:r>
            <w:r>
              <w:rPr>
                <w:rFonts w:hint="eastAsia" w:ascii="Times New Roman" w:hAnsi="Times New Roman" w:eastAsia="宋体" w:cs="宋体"/>
                <w:b w:val="0"/>
                <w:bCs/>
                <w:color w:val="0C0C0C"/>
                <w:kern w:val="0"/>
                <w:sz w:val="21"/>
                <w:szCs w:val="21"/>
                <w:highlight w:val="none"/>
                <w:lang w:val="en-US" w:eastAsia="zh-CN" w:bidi="ar"/>
              </w:rPr>
              <w:t>企业</w:t>
            </w:r>
          </w:p>
        </w:tc>
        <w:tc>
          <w:tcPr>
            <w:tcW w:w="168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c>
          <w:tcPr>
            <w:tcW w:w="137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6"/>
          <w:szCs w:val="36"/>
          <w:highlight w:val="none"/>
          <w:lang w:val="en-US" w:eastAsia="zh-CN" w:bidi="ar"/>
        </w:rPr>
        <w:t xml:space="preserve">    </w:t>
      </w:r>
      <w:r>
        <w:rPr>
          <w:rFonts w:hint="eastAsia" w:ascii="黑体" w:hAnsi="黑体" w:eastAsia="黑体" w:cs="黑体"/>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仿宋" w:hAnsi="仿宋" w:eastAsia="仿宋" w:cs="仿宋"/>
          <w:color w:val="0C0C0C"/>
          <w:spacing w:val="-6"/>
          <w:kern w:val="2"/>
          <w:sz w:val="32"/>
          <w:szCs w:val="32"/>
          <w:u w:val="none"/>
          <w:lang w:val="en-US" w:eastAsia="zh-CN" w:bidi="ar-SA"/>
        </w:rPr>
        <w:t xml:space="preserve"> 2023年末，科学研究和技术服务业企业法人单位资产总计</w:t>
      </w:r>
      <w:r>
        <w:rPr>
          <w:rFonts w:hint="eastAsia" w:ascii="仿宋" w:hAnsi="仿宋" w:eastAsia="仿宋" w:cs="仿宋"/>
          <w:color w:val="0C0C0C"/>
          <w:sz w:val="32"/>
          <w:szCs w:val="32"/>
          <w:u w:val="none"/>
          <w:lang w:val="en-US" w:eastAsia="zh-CN"/>
        </w:rPr>
        <w:t>3.77亿</w:t>
      </w:r>
      <w:r>
        <w:rPr>
          <w:rFonts w:hint="eastAsia" w:ascii="仿宋" w:hAnsi="仿宋" w:eastAsia="仿宋" w:cs="仿宋"/>
          <w:color w:val="0C0C0C"/>
          <w:spacing w:val="-6"/>
          <w:kern w:val="2"/>
          <w:sz w:val="32"/>
          <w:szCs w:val="32"/>
          <w:u w:val="none"/>
          <w:lang w:val="en-US" w:eastAsia="zh-CN" w:bidi="ar-SA"/>
        </w:rPr>
        <w:t>元，比2018年末增长</w:t>
      </w:r>
      <w:r>
        <w:rPr>
          <w:rFonts w:hint="eastAsia" w:ascii="仿宋" w:hAnsi="仿宋" w:eastAsia="仿宋" w:cs="仿宋"/>
          <w:color w:val="0C0C0C"/>
          <w:sz w:val="32"/>
          <w:szCs w:val="32"/>
          <w:u w:val="none"/>
          <w:lang w:val="en-US" w:eastAsia="zh-CN"/>
        </w:rPr>
        <w:t>462.69</w:t>
      </w:r>
      <w:r>
        <w:rPr>
          <w:rFonts w:hint="eastAsia" w:ascii="仿宋" w:hAnsi="仿宋" w:eastAsia="仿宋" w:cs="仿宋"/>
          <w:color w:val="0C0C0C"/>
          <w:spacing w:val="-6"/>
          <w:kern w:val="2"/>
          <w:sz w:val="32"/>
          <w:szCs w:val="32"/>
          <w:u w:val="none"/>
          <w:lang w:val="en-US" w:eastAsia="zh-CN" w:bidi="ar-SA"/>
        </w:rPr>
        <w:t>%；负债合计2.21</w:t>
      </w:r>
      <w:r>
        <w:rPr>
          <w:rFonts w:hint="eastAsia" w:ascii="仿宋" w:hAnsi="仿宋" w:eastAsia="仿宋" w:cs="仿宋"/>
          <w:color w:val="0C0C0C"/>
          <w:sz w:val="32"/>
          <w:szCs w:val="32"/>
          <w:u w:val="none"/>
          <w:lang w:val="en-US" w:eastAsia="zh-CN"/>
        </w:rPr>
        <w:t>亿</w:t>
      </w:r>
      <w:r>
        <w:rPr>
          <w:rFonts w:hint="eastAsia" w:ascii="仿宋" w:hAnsi="仿宋" w:eastAsia="仿宋" w:cs="仿宋"/>
          <w:color w:val="0C0C0C"/>
          <w:spacing w:val="-6"/>
          <w:kern w:val="2"/>
          <w:sz w:val="32"/>
          <w:szCs w:val="32"/>
          <w:u w:val="none"/>
          <w:lang w:val="en-US" w:eastAsia="zh-CN" w:bidi="ar-SA"/>
        </w:rPr>
        <w:t>元，比2018年末增长</w:t>
      </w:r>
      <w:r>
        <w:rPr>
          <w:rFonts w:hint="eastAsia" w:ascii="仿宋" w:hAnsi="仿宋" w:eastAsia="仿宋" w:cs="仿宋"/>
          <w:color w:val="0C0C0C"/>
          <w:sz w:val="32"/>
          <w:szCs w:val="32"/>
          <w:u w:val="none"/>
          <w:lang w:val="en-US" w:eastAsia="zh-CN"/>
        </w:rPr>
        <w:t>636.67</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 xml:space="preserve">    2023年，科学研究和技术服务业企业法人单位全年实现营业收入</w:t>
      </w:r>
      <w:r>
        <w:rPr>
          <w:rFonts w:hint="eastAsia" w:ascii="仿宋" w:hAnsi="仿宋" w:eastAsia="仿宋" w:cs="仿宋"/>
          <w:color w:val="0C0C0C"/>
          <w:sz w:val="32"/>
          <w:szCs w:val="32"/>
          <w:u w:val="none"/>
          <w:lang w:val="en-US" w:eastAsia="zh-CN"/>
        </w:rPr>
        <w:t>0.95亿</w:t>
      </w:r>
      <w:r>
        <w:rPr>
          <w:rFonts w:hint="eastAsia" w:ascii="仿宋" w:hAnsi="仿宋" w:eastAsia="仿宋" w:cs="仿宋"/>
          <w:color w:val="0C0C0C"/>
          <w:spacing w:val="-6"/>
          <w:kern w:val="2"/>
          <w:sz w:val="32"/>
          <w:szCs w:val="32"/>
          <w:u w:val="none"/>
          <w:lang w:val="en-US" w:eastAsia="zh-CN" w:bidi="ar-SA"/>
        </w:rPr>
        <w:t>元 ，比2018年增长</w:t>
      </w:r>
      <w:r>
        <w:rPr>
          <w:rFonts w:hint="eastAsia" w:ascii="仿宋" w:hAnsi="仿宋" w:eastAsia="仿宋" w:cs="仿宋"/>
          <w:color w:val="0C0C0C"/>
          <w:sz w:val="32"/>
          <w:szCs w:val="32"/>
          <w:u w:val="none"/>
          <w:lang w:val="en-US" w:eastAsia="zh-CN"/>
        </w:rPr>
        <w:t>196.88</w:t>
      </w:r>
      <w:r>
        <w:rPr>
          <w:rFonts w:hint="eastAsia" w:ascii="仿宋" w:hAnsi="仿宋" w:eastAsia="仿宋" w:cs="仿宋"/>
          <w:color w:val="0C0C0C"/>
          <w:spacing w:val="-6"/>
          <w:kern w:val="2"/>
          <w:sz w:val="32"/>
          <w:szCs w:val="32"/>
          <w:u w:val="none"/>
          <w:lang w:val="en-US" w:eastAsia="zh-CN" w:bidi="ar-SA"/>
        </w:rPr>
        <w:t>%（详见表5-3）。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表5-3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63"/>
        <w:gridCol w:w="1515"/>
        <w:gridCol w:w="1515"/>
        <w:gridCol w:w="15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93"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p>
        </w:tc>
        <w:tc>
          <w:tcPr>
            <w:tcW w:w="152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c>
          <w:tcPr>
            <w:tcW w:w="152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c>
          <w:tcPr>
            <w:tcW w:w="152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93"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52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3.77 </w:t>
            </w:r>
          </w:p>
        </w:tc>
        <w:tc>
          <w:tcPr>
            <w:tcW w:w="152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2.21 </w:t>
            </w:r>
          </w:p>
        </w:tc>
        <w:tc>
          <w:tcPr>
            <w:tcW w:w="152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0.95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9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研究和试验发展</w:t>
            </w:r>
          </w:p>
        </w:tc>
        <w:tc>
          <w:tcPr>
            <w:tcW w:w="152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0.49 </w:t>
            </w:r>
          </w:p>
        </w:tc>
        <w:tc>
          <w:tcPr>
            <w:tcW w:w="152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0.27 </w:t>
            </w:r>
          </w:p>
        </w:tc>
        <w:tc>
          <w:tcPr>
            <w:tcW w:w="152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9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专业技术服务业</w:t>
            </w:r>
          </w:p>
        </w:tc>
        <w:tc>
          <w:tcPr>
            <w:tcW w:w="152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0.58 </w:t>
            </w:r>
          </w:p>
        </w:tc>
        <w:tc>
          <w:tcPr>
            <w:tcW w:w="152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0.31 </w:t>
            </w:r>
          </w:p>
        </w:tc>
        <w:tc>
          <w:tcPr>
            <w:tcW w:w="152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0.52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93"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科技推广和应用服务业</w:t>
            </w:r>
          </w:p>
        </w:tc>
        <w:tc>
          <w:tcPr>
            <w:tcW w:w="152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2.70 </w:t>
            </w:r>
          </w:p>
        </w:tc>
        <w:tc>
          <w:tcPr>
            <w:tcW w:w="152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1.63 </w:t>
            </w:r>
          </w:p>
        </w:tc>
        <w:tc>
          <w:tcPr>
            <w:tcW w:w="152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0.39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二、水利、环境和公共设施管理业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楷体" w:hAnsi="楷体" w:eastAsia="楷体" w:cs="楷体"/>
          <w:i w:val="0"/>
          <w:caps w:val="0"/>
          <w:color w:val="0C0C0C"/>
          <w:spacing w:val="0"/>
          <w:kern w:val="0"/>
          <w:sz w:val="32"/>
          <w:szCs w:val="32"/>
          <w:highlight w:val="none"/>
          <w:lang w:bidi="ar"/>
        </w:rPr>
      </w:pPr>
      <w:r>
        <w:rPr>
          <w:rFonts w:hint="eastAsia" w:ascii="楷体" w:hAnsi="楷体" w:eastAsia="楷体" w:cs="楷体"/>
          <w:i w:val="0"/>
          <w:caps w:val="0"/>
          <w:color w:val="0C0C0C"/>
          <w:spacing w:val="0"/>
          <w:kern w:val="0"/>
          <w:sz w:val="32"/>
          <w:szCs w:val="32"/>
          <w:highlight w:val="none"/>
          <w:lang w:val="en-US" w:eastAsia="zh-CN" w:bidi="ar"/>
        </w:rPr>
        <w:t xml:space="preserve">    （一）法人单位数和从业人员</w:t>
      </w:r>
    </w:p>
    <w:p>
      <w:pPr>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2023年末，全市共有水利、环境和公共设施管理业法人单位54个，从业人员646人，分别比2018年末增长134.78%和下降57.89%。其中，行政事业及非企业法人单位7个，比2018年末增长</w:t>
      </w:r>
      <w:r>
        <w:rPr>
          <w:rFonts w:hint="eastAsia" w:ascii="仿宋" w:hAnsi="仿宋" w:eastAsia="仿宋" w:cs="仿宋"/>
          <w:color w:val="0C0C0C"/>
          <w:sz w:val="32"/>
          <w:szCs w:val="32"/>
          <w:u w:val="none"/>
          <w:lang w:val="en-US" w:eastAsia="zh-CN"/>
        </w:rPr>
        <w:t>16.67</w:t>
      </w:r>
      <w:r>
        <w:rPr>
          <w:rFonts w:hint="eastAsia" w:ascii="仿宋" w:hAnsi="仿宋" w:eastAsia="仿宋" w:cs="仿宋"/>
          <w:color w:val="0C0C0C"/>
          <w:spacing w:val="-6"/>
          <w:kern w:val="2"/>
          <w:sz w:val="32"/>
          <w:szCs w:val="32"/>
          <w:u w:val="none"/>
          <w:lang w:val="en-US" w:eastAsia="zh-CN" w:bidi="ar-SA"/>
        </w:rPr>
        <w:t>%；从业人员</w:t>
      </w:r>
      <w:r>
        <w:rPr>
          <w:rFonts w:hint="eastAsia" w:ascii="仿宋" w:hAnsi="仿宋" w:eastAsia="仿宋" w:cs="仿宋"/>
          <w:color w:val="0C0C0C"/>
          <w:sz w:val="32"/>
          <w:szCs w:val="32"/>
          <w:u w:val="none"/>
          <w:lang w:val="en-US" w:eastAsia="zh-CN"/>
        </w:rPr>
        <w:t>181</w:t>
      </w:r>
      <w:r>
        <w:rPr>
          <w:rFonts w:hint="eastAsia" w:ascii="仿宋" w:hAnsi="仿宋" w:eastAsia="仿宋" w:cs="仿宋"/>
          <w:color w:val="0C0C0C"/>
          <w:spacing w:val="-6"/>
          <w:kern w:val="2"/>
          <w:sz w:val="32"/>
          <w:szCs w:val="32"/>
          <w:u w:val="none"/>
          <w:lang w:val="en-US" w:eastAsia="zh-CN" w:bidi="ar-SA"/>
        </w:rPr>
        <w:t>人，比2018年末下降84.9%。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i w:val="0"/>
          <w:caps w:val="0"/>
          <w:color w:val="0C0C0C"/>
          <w:spacing w:val="0"/>
          <w:kern w:val="0"/>
          <w:sz w:val="32"/>
          <w:szCs w:val="32"/>
          <w:highlight w:val="none"/>
          <w:lang w:bidi="ar"/>
        </w:rPr>
      </w:pPr>
      <w:r>
        <w:rPr>
          <w:rFonts w:hint="eastAsia" w:ascii="楷体" w:hAnsi="楷体" w:eastAsia="楷体" w:cs="楷体"/>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2023年末，水利、环境和公共设施管理业企业法人单位资产总计5.54亿元，比2018年末下降90.4%；负债合计4.10 亿元，比2018年末下降 63.4%。全年实现营业收入0.51亿元，比 2018年增长0%。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行政事业及非企业法人单位年末资产0.12 亿元，比2018 年末下降 95.97%。本年支出（费用）合计0.13 亿元，比2018 年下降 91.3%。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黑体" w:hAnsi="黑体" w:eastAsia="黑体" w:cs="黑体"/>
          <w:i w:val="0"/>
          <w:caps w:val="0"/>
          <w:color w:val="0C0C0C"/>
          <w:spacing w:val="0"/>
          <w:kern w:val="0"/>
          <w:sz w:val="32"/>
          <w:szCs w:val="32"/>
          <w:highlight w:val="none"/>
          <w:lang w:val="en-US" w:eastAsia="zh-CN" w:bidi="ar"/>
        </w:rPr>
        <w:t xml:space="preserve">    （一）企业法人单位数和从业人员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C0C0C"/>
          <w:spacing w:val="-6"/>
          <w:kern w:val="2"/>
          <w:sz w:val="32"/>
          <w:szCs w:val="32"/>
          <w:u w:val="none"/>
          <w:lang w:val="en" w:eastAsia="zh-CN" w:bidi="ar-SA"/>
        </w:rPr>
        <w:t>2023年末，全市共有居民服务、修理和其他服务业企业法人单位</w:t>
      </w:r>
      <w:r>
        <w:rPr>
          <w:rFonts w:hint="eastAsia" w:ascii="仿宋" w:hAnsi="仿宋" w:eastAsia="仿宋" w:cs="仿宋"/>
          <w:color w:val="0C0C0C"/>
          <w:spacing w:val="-6"/>
          <w:kern w:val="2"/>
          <w:sz w:val="32"/>
          <w:szCs w:val="32"/>
          <w:u w:val="none"/>
          <w:lang w:val="en-US" w:eastAsia="zh-CN" w:bidi="ar-SA"/>
        </w:rPr>
        <w:t>121</w:t>
      </w:r>
      <w:r>
        <w:rPr>
          <w:rFonts w:hint="eastAsia" w:ascii="仿宋" w:hAnsi="仿宋" w:eastAsia="仿宋" w:cs="仿宋"/>
          <w:color w:val="0C0C0C"/>
          <w:spacing w:val="-6"/>
          <w:kern w:val="2"/>
          <w:sz w:val="32"/>
          <w:szCs w:val="32"/>
          <w:u w:val="none"/>
          <w:lang w:val="en" w:eastAsia="zh-CN" w:bidi="ar-SA"/>
        </w:rPr>
        <w:t>个，从业人员</w:t>
      </w:r>
      <w:r>
        <w:rPr>
          <w:rFonts w:hint="eastAsia" w:ascii="仿宋" w:hAnsi="仿宋" w:eastAsia="仿宋" w:cs="仿宋"/>
          <w:color w:val="0C0C0C"/>
          <w:spacing w:val="-6"/>
          <w:kern w:val="2"/>
          <w:sz w:val="32"/>
          <w:szCs w:val="32"/>
          <w:u w:val="none"/>
          <w:lang w:val="en-US" w:eastAsia="zh-CN" w:bidi="ar-SA"/>
        </w:rPr>
        <w:t>933</w:t>
      </w:r>
      <w:r>
        <w:rPr>
          <w:rFonts w:hint="eastAsia" w:ascii="仿宋" w:hAnsi="仿宋" w:eastAsia="仿宋" w:cs="仿宋"/>
          <w:color w:val="0C0C0C"/>
          <w:spacing w:val="-6"/>
          <w:kern w:val="2"/>
          <w:sz w:val="32"/>
          <w:szCs w:val="32"/>
          <w:u w:val="none"/>
          <w:lang w:val="en" w:eastAsia="zh-CN" w:bidi="ar-SA"/>
        </w:rPr>
        <w:t>人，分别比2018年末增长</w:t>
      </w:r>
      <w:r>
        <w:rPr>
          <w:rFonts w:hint="eastAsia" w:ascii="仿宋" w:hAnsi="仿宋" w:eastAsia="仿宋" w:cs="仿宋"/>
          <w:color w:val="0C0C0C"/>
          <w:sz w:val="32"/>
          <w:szCs w:val="32"/>
          <w:u w:val="none"/>
          <w:lang w:val="en-US" w:eastAsia="zh-CN"/>
        </w:rPr>
        <w:t>317.24</w:t>
      </w:r>
      <w:r>
        <w:rPr>
          <w:rFonts w:hint="eastAsia" w:ascii="仿宋" w:hAnsi="仿宋" w:eastAsia="仿宋" w:cs="仿宋"/>
          <w:color w:val="0C0C0C"/>
          <w:spacing w:val="-6"/>
          <w:kern w:val="2"/>
          <w:sz w:val="32"/>
          <w:szCs w:val="32"/>
          <w:u w:val="none"/>
          <w:lang w:val="en" w:eastAsia="zh-CN" w:bidi="ar-SA"/>
        </w:rPr>
        <w:t>%和</w:t>
      </w:r>
      <w:r>
        <w:rPr>
          <w:rFonts w:hint="eastAsia" w:ascii="仿宋" w:hAnsi="仿宋" w:eastAsia="仿宋" w:cs="仿宋"/>
          <w:color w:val="0C0C0C"/>
          <w:sz w:val="32"/>
          <w:szCs w:val="32"/>
          <w:u w:val="none"/>
          <w:lang w:val="en-US" w:eastAsia="zh-CN"/>
        </w:rPr>
        <w:t>333.95</w:t>
      </w:r>
      <w:r>
        <w:rPr>
          <w:rFonts w:hint="eastAsia" w:ascii="仿宋" w:hAnsi="仿宋" w:eastAsia="仿宋" w:cs="仿宋"/>
          <w:color w:val="0C0C0C"/>
          <w:spacing w:val="-6"/>
          <w:kern w:val="2"/>
          <w:sz w:val="32"/>
          <w:szCs w:val="32"/>
          <w:u w:val="none"/>
          <w:lang w:val="en" w:eastAsia="zh-CN" w:bidi="ar-SA"/>
        </w:rPr>
        <w:t>%（详见表5-4）</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表5-4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5"/>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45"/>
        <w:gridCol w:w="2354"/>
        <w:gridCol w:w="18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121</w:t>
            </w:r>
          </w:p>
        </w:tc>
        <w:tc>
          <w:tcPr>
            <w:tcW w:w="189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69</w:t>
            </w:r>
          </w:p>
        </w:tc>
        <w:tc>
          <w:tcPr>
            <w:tcW w:w="18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35</w:t>
            </w:r>
          </w:p>
        </w:tc>
        <w:tc>
          <w:tcPr>
            <w:tcW w:w="18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w:t>
            </w:r>
          </w:p>
        </w:tc>
        <w:tc>
          <w:tcPr>
            <w:tcW w:w="189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411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仿宋" w:hAnsi="仿宋" w:eastAsia="仿宋" w:cs="仿宋"/>
          <w:color w:val="0C0C0C"/>
          <w:spacing w:val="-6"/>
          <w:kern w:val="2"/>
          <w:sz w:val="32"/>
          <w:szCs w:val="32"/>
          <w:u w:val="none"/>
          <w:lang w:val="en"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仿宋" w:hAnsi="仿宋" w:eastAsia="仿宋" w:cs="仿宋"/>
          <w:color w:val="0C0C0C"/>
          <w:spacing w:val="-6"/>
          <w:kern w:val="2"/>
          <w:sz w:val="32"/>
          <w:szCs w:val="32"/>
          <w:u w:val="none"/>
          <w:lang w:val="en-US" w:eastAsia="zh-CN" w:bidi="ar-SA"/>
        </w:rPr>
        <w:t>在居民服务、修理和其他服务业企业法人单位中，内资企业占</w:t>
      </w:r>
      <w:r>
        <w:rPr>
          <w:rFonts w:hint="eastAsia" w:ascii="仿宋" w:hAnsi="仿宋" w:eastAsia="仿宋" w:cs="仿宋"/>
          <w:color w:val="0C0C0C"/>
          <w:sz w:val="32"/>
          <w:szCs w:val="32"/>
          <w:u w:val="none"/>
          <w:lang w:val="en-US" w:eastAsia="zh-CN"/>
        </w:rPr>
        <w:t>99.17</w:t>
      </w:r>
      <w:r>
        <w:rPr>
          <w:rFonts w:hint="eastAsia" w:ascii="仿宋" w:hAnsi="仿宋" w:eastAsia="仿宋" w:cs="仿宋"/>
          <w:color w:val="0C0C0C"/>
          <w:spacing w:val="-6"/>
          <w:kern w:val="2"/>
          <w:sz w:val="32"/>
          <w:szCs w:val="32"/>
          <w:u w:val="none"/>
          <w:lang w:val="en-US" w:eastAsia="zh-CN" w:bidi="ar-SA"/>
        </w:rPr>
        <w:t>%，其他企业占</w:t>
      </w:r>
      <w:r>
        <w:rPr>
          <w:rFonts w:hint="eastAsia" w:ascii="仿宋" w:hAnsi="仿宋" w:eastAsia="仿宋" w:cs="仿宋"/>
          <w:color w:val="0C0C0C"/>
          <w:sz w:val="32"/>
          <w:szCs w:val="32"/>
          <w:u w:val="none"/>
          <w:lang w:val="en-US" w:eastAsia="zh-CN"/>
        </w:rPr>
        <w:t>0.83</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 xml:space="preserve">    在居民服务、修理和其他服务业企业法人单位从业人员中，内资企业占</w:t>
      </w:r>
      <w:r>
        <w:rPr>
          <w:rFonts w:hint="eastAsia" w:ascii="仿宋" w:hAnsi="仿宋" w:eastAsia="仿宋" w:cs="仿宋"/>
          <w:color w:val="0C0C0C"/>
          <w:sz w:val="32"/>
          <w:szCs w:val="32"/>
          <w:u w:val="none"/>
          <w:lang w:val="en-US" w:eastAsia="zh-CN"/>
        </w:rPr>
        <w:t>99.68</w:t>
      </w:r>
      <w:r>
        <w:rPr>
          <w:rFonts w:hint="eastAsia" w:ascii="仿宋" w:hAnsi="仿宋" w:eastAsia="仿宋" w:cs="仿宋"/>
          <w:color w:val="0C0C0C"/>
          <w:spacing w:val="-6"/>
          <w:kern w:val="2"/>
          <w:sz w:val="32"/>
          <w:szCs w:val="32"/>
          <w:u w:val="none"/>
          <w:lang w:val="en-US" w:eastAsia="zh-CN" w:bidi="ar-SA"/>
        </w:rPr>
        <w:t>%，其他企业占</w:t>
      </w:r>
      <w:r>
        <w:rPr>
          <w:rFonts w:hint="eastAsia" w:ascii="仿宋" w:hAnsi="仿宋" w:eastAsia="仿宋" w:cs="仿宋"/>
          <w:color w:val="0C0C0C"/>
          <w:sz w:val="32"/>
          <w:szCs w:val="32"/>
          <w:u w:val="none"/>
          <w:lang w:val="en-US" w:eastAsia="zh-CN"/>
        </w:rPr>
        <w:t>0.32</w:t>
      </w:r>
      <w:r>
        <w:rPr>
          <w:rFonts w:hint="eastAsia" w:ascii="仿宋" w:hAnsi="仿宋" w:eastAsia="仿宋" w:cs="仿宋"/>
          <w:color w:val="0C0C0C"/>
          <w:spacing w:val="-6"/>
          <w:kern w:val="2"/>
          <w:sz w:val="32"/>
          <w:szCs w:val="32"/>
          <w:u w:val="none"/>
          <w:lang w:val="en-US" w:eastAsia="zh-CN" w:bidi="ar-SA"/>
        </w:rPr>
        <w:t>%（详见表5-5）。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表5-5　按登记注册统计类别分组的居民服务、修理和其他服务业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5"/>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26"/>
        <w:gridCol w:w="2799"/>
        <w:gridCol w:w="22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4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5"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7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3" w:hRule="atLeast"/>
          <w:jc w:val="center"/>
        </w:trPr>
        <w:tc>
          <w:tcPr>
            <w:tcW w:w="194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85"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121</w:t>
            </w:r>
          </w:p>
        </w:tc>
        <w:tc>
          <w:tcPr>
            <w:tcW w:w="137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8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120</w:t>
            </w:r>
          </w:p>
        </w:tc>
        <w:tc>
          <w:tcPr>
            <w:tcW w:w="137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930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685"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1</w:t>
            </w:r>
          </w:p>
        </w:tc>
        <w:tc>
          <w:tcPr>
            <w:tcW w:w="137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pStyle w:val="2"/>
        <w:keepNext w:val="0"/>
        <w:keepLines w:val="0"/>
        <w:pageBreakBefore w:val="0"/>
        <w:kinsoku/>
        <w:wordWrap/>
        <w:overflowPunct/>
        <w:topLinePunct w:val="0"/>
        <w:autoSpaceDE/>
        <w:autoSpaceDN/>
        <w:bidi w:val="0"/>
        <w:adjustRightInd/>
        <w:snapToGrid/>
        <w:spacing w:line="600" w:lineRule="exact"/>
        <w:ind w:left="0" w:leftChars="0" w:firstLine="616" w:firstLineChars="200"/>
        <w:rPr>
          <w:rFonts w:hint="eastAsia" w:ascii="仿宋" w:hAnsi="仿宋" w:eastAsia="仿宋" w:cs="仿宋"/>
          <w:b/>
          <w:i w:val="0"/>
          <w:caps w:val="0"/>
          <w:color w:val="0C0C0C"/>
          <w:spacing w:val="0"/>
          <w:kern w:val="0"/>
          <w:sz w:val="32"/>
          <w:szCs w:val="32"/>
          <w:highlight w:val="none"/>
          <w:lang w:val="en-US" w:eastAsia="zh-CN" w:bidi="ar"/>
        </w:rPr>
      </w:pPr>
      <w:r>
        <w:rPr>
          <w:rFonts w:hint="eastAsia" w:ascii="仿宋" w:hAnsi="仿宋" w:eastAsia="仿宋" w:cs="仿宋"/>
          <w:color w:val="0C0C0C"/>
          <w:spacing w:val="-6"/>
          <w:kern w:val="2"/>
          <w:sz w:val="32"/>
          <w:szCs w:val="32"/>
          <w:u w:val="none"/>
          <w:lang w:val="en-US" w:eastAsia="zh-CN" w:bidi="ar-SA"/>
        </w:rPr>
        <w:t>2023年末，居民服务、修理和其他服务业企业法人单位资产总计0.7亿元，比2018年末下降</w:t>
      </w:r>
      <w:r>
        <w:rPr>
          <w:rFonts w:hint="eastAsia" w:ascii="仿宋" w:hAnsi="仿宋" w:eastAsia="仿宋" w:cs="仿宋"/>
          <w:color w:val="0C0C0C"/>
          <w:sz w:val="32"/>
          <w:szCs w:val="32"/>
          <w:u w:val="none"/>
          <w:lang w:val="en-US" w:eastAsia="zh-CN"/>
        </w:rPr>
        <w:t>9.09</w:t>
      </w:r>
      <w:r>
        <w:rPr>
          <w:rFonts w:hint="eastAsia" w:ascii="仿宋" w:hAnsi="仿宋" w:eastAsia="仿宋" w:cs="仿宋"/>
          <w:color w:val="0C0C0C"/>
          <w:spacing w:val="-6"/>
          <w:kern w:val="2"/>
          <w:sz w:val="32"/>
          <w:szCs w:val="32"/>
          <w:u w:val="none"/>
          <w:lang w:val="en-US" w:eastAsia="zh-CN" w:bidi="ar-SA"/>
        </w:rPr>
        <w:t>%；负债合计0.35亿元，比2018年末增长</w:t>
      </w:r>
      <w:r>
        <w:rPr>
          <w:rFonts w:hint="eastAsia" w:ascii="仿宋" w:hAnsi="仿宋" w:eastAsia="仿宋" w:cs="仿宋"/>
          <w:color w:val="0C0C0C"/>
          <w:sz w:val="32"/>
          <w:szCs w:val="32"/>
          <w:u w:val="none"/>
          <w:lang w:val="en-US" w:eastAsia="zh-CN"/>
        </w:rPr>
        <w:t>29.63</w:t>
      </w:r>
      <w:r>
        <w:rPr>
          <w:rFonts w:hint="eastAsia" w:ascii="仿宋" w:hAnsi="仿宋" w:eastAsia="仿宋" w:cs="仿宋"/>
          <w:color w:val="0C0C0C"/>
          <w:spacing w:val="-6"/>
          <w:kern w:val="2"/>
          <w:sz w:val="32"/>
          <w:szCs w:val="32"/>
          <w:u w:val="none"/>
          <w:lang w:val="en-US" w:eastAsia="zh-CN" w:bidi="ar-SA"/>
        </w:rPr>
        <w:t>%。全年实现营业收入0.56亿元，比2018年增长</w:t>
      </w:r>
      <w:r>
        <w:rPr>
          <w:rFonts w:hint="eastAsia" w:ascii="仿宋" w:hAnsi="仿宋" w:eastAsia="仿宋" w:cs="仿宋"/>
          <w:color w:val="0C0C0C"/>
          <w:sz w:val="32"/>
          <w:szCs w:val="32"/>
          <w:u w:val="none"/>
          <w:lang w:val="en-US" w:eastAsia="zh-CN"/>
        </w:rPr>
        <w:t>460</w:t>
      </w:r>
      <w:r>
        <w:rPr>
          <w:rFonts w:hint="eastAsia" w:ascii="仿宋" w:hAnsi="仿宋" w:eastAsia="仿宋" w:cs="仿宋"/>
          <w:color w:val="0C0C0C"/>
          <w:spacing w:val="-6"/>
          <w:kern w:val="2"/>
          <w:sz w:val="32"/>
          <w:szCs w:val="32"/>
          <w:u w:val="none"/>
          <w:lang w:val="en-US" w:eastAsia="zh-CN" w:bidi="ar-SA"/>
        </w:rPr>
        <w:t>%（详见表5-6）。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表5-6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5"/>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17"/>
        <w:gridCol w:w="1408"/>
        <w:gridCol w:w="1379"/>
        <w:gridCol w:w="139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c>
          <w:tcPr>
            <w:tcW w:w="83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c>
          <w:tcPr>
            <w:tcW w:w="84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48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0.70 </w:t>
            </w:r>
          </w:p>
        </w:tc>
        <w:tc>
          <w:tcPr>
            <w:tcW w:w="144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0.35 </w:t>
            </w:r>
          </w:p>
        </w:tc>
        <w:tc>
          <w:tcPr>
            <w:tcW w:w="147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0.56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居民服务业</w:t>
            </w:r>
          </w:p>
        </w:tc>
        <w:tc>
          <w:tcPr>
            <w:tcW w:w="148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0.55 </w:t>
            </w:r>
          </w:p>
        </w:tc>
        <w:tc>
          <w:tcPr>
            <w:tcW w:w="144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0.30 </w:t>
            </w:r>
          </w:p>
        </w:tc>
        <w:tc>
          <w:tcPr>
            <w:tcW w:w="147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机动车、电子产品和日用产品修理业</w:t>
            </w:r>
          </w:p>
        </w:tc>
        <w:tc>
          <w:tcPr>
            <w:tcW w:w="148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0.10 </w:t>
            </w:r>
          </w:p>
        </w:tc>
        <w:tc>
          <w:tcPr>
            <w:tcW w:w="144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0.02 </w:t>
            </w:r>
          </w:p>
        </w:tc>
        <w:tc>
          <w:tcPr>
            <w:tcW w:w="147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其他服务业</w:t>
            </w:r>
          </w:p>
        </w:tc>
        <w:tc>
          <w:tcPr>
            <w:tcW w:w="148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0.05 </w:t>
            </w:r>
          </w:p>
        </w:tc>
        <w:tc>
          <w:tcPr>
            <w:tcW w:w="144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0.03 </w:t>
            </w:r>
          </w:p>
        </w:tc>
        <w:tc>
          <w:tcPr>
            <w:tcW w:w="147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0.14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黑体" w:hAnsi="黑体" w:eastAsia="黑体" w:cs="黑体"/>
          <w:i w:val="0"/>
          <w:caps w:val="0"/>
          <w:color w:val="0C0C0C"/>
          <w:spacing w:val="0"/>
          <w:kern w:val="0"/>
          <w:sz w:val="32"/>
          <w:szCs w:val="32"/>
          <w:highlight w:val="none"/>
          <w:lang w:val="en-US" w:eastAsia="zh-CN" w:bidi="ar"/>
        </w:rPr>
        <w:t>（一）法人单位数和从业人员</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center"/>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2023年末，万宁共有教育法人单位230个，从业人员</w:t>
      </w:r>
      <w:r>
        <w:rPr>
          <w:rFonts w:hint="eastAsia" w:ascii="仿宋" w:hAnsi="仿宋" w:eastAsia="仿宋" w:cs="仿宋"/>
          <w:color w:val="0C0C0C"/>
          <w:sz w:val="32"/>
          <w:szCs w:val="32"/>
          <w:u w:val="none"/>
          <w:lang w:val="en-US" w:eastAsia="zh-CN"/>
        </w:rPr>
        <w:t>7127</w:t>
      </w:r>
      <w:r>
        <w:rPr>
          <w:rFonts w:hint="eastAsia" w:ascii="仿宋" w:hAnsi="仿宋" w:eastAsia="仿宋" w:cs="仿宋"/>
          <w:color w:val="0C0C0C"/>
          <w:spacing w:val="-6"/>
          <w:kern w:val="2"/>
          <w:sz w:val="32"/>
          <w:szCs w:val="32"/>
          <w:u w:val="none"/>
          <w:lang w:val="en-US" w:eastAsia="zh-CN" w:bidi="ar-SA"/>
        </w:rPr>
        <w:t>人，分别比2018年末下降</w:t>
      </w:r>
      <w:r>
        <w:rPr>
          <w:rFonts w:hint="eastAsia" w:ascii="仿宋" w:hAnsi="仿宋" w:eastAsia="仿宋" w:cs="仿宋"/>
          <w:color w:val="0C0C0C"/>
          <w:sz w:val="32"/>
          <w:szCs w:val="32"/>
          <w:u w:val="none"/>
          <w:lang w:val="en-US" w:eastAsia="zh-CN"/>
        </w:rPr>
        <w:t>7.63</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7.93</w:t>
      </w:r>
      <w:r>
        <w:rPr>
          <w:rFonts w:hint="eastAsia" w:ascii="仿宋" w:hAnsi="仿宋" w:eastAsia="仿宋" w:cs="仿宋"/>
          <w:color w:val="0C0C0C"/>
          <w:spacing w:val="-6"/>
          <w:kern w:val="2"/>
          <w:sz w:val="32"/>
          <w:szCs w:val="32"/>
          <w:u w:val="none"/>
          <w:lang w:val="en-US" w:eastAsia="zh-CN" w:bidi="ar-SA"/>
        </w:rPr>
        <w:t>%。其中，行政事业及非企业法人单位</w:t>
      </w:r>
      <w:r>
        <w:rPr>
          <w:rFonts w:hint="eastAsia" w:ascii="仿宋" w:hAnsi="仿宋" w:eastAsia="仿宋" w:cs="仿宋"/>
          <w:color w:val="0C0C0C"/>
          <w:sz w:val="32"/>
          <w:szCs w:val="32"/>
          <w:u w:val="none"/>
          <w:lang w:val="en-US" w:eastAsia="zh-CN"/>
        </w:rPr>
        <w:t>105</w:t>
      </w:r>
      <w:r>
        <w:rPr>
          <w:rFonts w:hint="eastAsia" w:ascii="仿宋" w:hAnsi="仿宋" w:eastAsia="仿宋" w:cs="仿宋"/>
          <w:color w:val="0C0C0C"/>
          <w:spacing w:val="-6"/>
          <w:kern w:val="2"/>
          <w:sz w:val="32"/>
          <w:szCs w:val="32"/>
          <w:u w:val="none"/>
          <w:lang w:val="en-US" w:eastAsia="zh-CN" w:bidi="ar-SA"/>
        </w:rPr>
        <w:t>个，从业人员</w:t>
      </w:r>
      <w:r>
        <w:rPr>
          <w:rFonts w:hint="eastAsia" w:ascii="仿宋" w:hAnsi="仿宋" w:eastAsia="仿宋" w:cs="仿宋"/>
          <w:color w:val="0C0C0C"/>
          <w:sz w:val="32"/>
          <w:szCs w:val="32"/>
          <w:u w:val="none"/>
          <w:lang w:val="en-US" w:eastAsia="zh-CN"/>
        </w:rPr>
        <w:t>5855</w:t>
      </w:r>
      <w:r>
        <w:rPr>
          <w:rFonts w:hint="eastAsia" w:ascii="仿宋" w:hAnsi="仿宋" w:eastAsia="仿宋" w:cs="仿宋"/>
          <w:color w:val="0C0C0C"/>
          <w:spacing w:val="-6"/>
          <w:kern w:val="2"/>
          <w:sz w:val="32"/>
          <w:szCs w:val="32"/>
          <w:u w:val="none"/>
          <w:lang w:val="en-US" w:eastAsia="zh-CN" w:bidi="ar-SA"/>
        </w:rPr>
        <w:t>人，分别比2018年末下降</w:t>
      </w:r>
      <w:r>
        <w:rPr>
          <w:rFonts w:hint="eastAsia" w:ascii="仿宋" w:hAnsi="仿宋" w:eastAsia="仿宋" w:cs="仿宋"/>
          <w:color w:val="0C0C0C"/>
          <w:sz w:val="32"/>
          <w:szCs w:val="32"/>
          <w:u w:val="none"/>
          <w:lang w:val="en-US" w:eastAsia="zh-CN"/>
        </w:rPr>
        <w:t>35.19</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7.48</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kinsoku/>
        <w:wordWrap/>
        <w:topLinePunct w:val="0"/>
        <w:autoSpaceDE/>
        <w:autoSpaceDN/>
        <w:bidi w:val="0"/>
        <w:spacing w:line="600" w:lineRule="exact"/>
        <w:ind w:left="0" w:leftChars="0" w:firstLine="0" w:firstLineChars="0"/>
        <w:rPr>
          <w:rFonts w:hint="eastAsia" w:ascii="黑体" w:hAnsi="黑体" w:eastAsia="黑体" w:cs="黑体"/>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 xml:space="preserve">    </w:t>
      </w:r>
      <w:r>
        <w:rPr>
          <w:rFonts w:hint="eastAsia" w:ascii="黑体" w:hAnsi="黑体" w:eastAsia="黑体" w:cs="黑体"/>
          <w:color w:val="0C0C0C"/>
          <w:spacing w:val="-6"/>
          <w:kern w:val="2"/>
          <w:sz w:val="32"/>
          <w:szCs w:val="32"/>
          <w:u w:val="none"/>
          <w:lang w:val="en-US" w:eastAsia="zh-CN" w:bidi="ar-SA"/>
        </w:rPr>
        <w:t>（二）主要经济指标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center"/>
        <w:rPr>
          <w:rFonts w:hint="eastAsia" w:ascii="仿宋" w:hAnsi="仿宋" w:eastAsia="仿宋" w:cs="仿宋"/>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仿宋" w:hAnsi="仿宋" w:eastAsia="仿宋" w:cs="仿宋"/>
          <w:color w:val="0C0C0C"/>
          <w:spacing w:val="-6"/>
          <w:kern w:val="2"/>
          <w:sz w:val="32"/>
          <w:szCs w:val="32"/>
          <w:u w:val="none"/>
          <w:lang w:val="en-US" w:eastAsia="zh-CN" w:bidi="ar-SA"/>
        </w:rPr>
        <w:t xml:space="preserve">  2023年末，教育企业法人单位资产总计0.</w:t>
      </w:r>
      <w:r>
        <w:rPr>
          <w:rFonts w:hint="eastAsia" w:ascii="仿宋" w:hAnsi="仿宋" w:eastAsia="仿宋" w:cs="仿宋"/>
          <w:color w:val="0C0C0C"/>
          <w:sz w:val="32"/>
          <w:szCs w:val="32"/>
          <w:u w:val="none"/>
          <w:lang w:val="en-US" w:eastAsia="zh-CN"/>
        </w:rPr>
        <w:t>73亿</w:t>
      </w:r>
      <w:r>
        <w:rPr>
          <w:rFonts w:hint="eastAsia" w:ascii="仿宋" w:hAnsi="仿宋" w:eastAsia="仿宋" w:cs="仿宋"/>
          <w:color w:val="0C0C0C"/>
          <w:spacing w:val="-6"/>
          <w:kern w:val="2"/>
          <w:sz w:val="32"/>
          <w:szCs w:val="32"/>
          <w:u w:val="none"/>
          <w:lang w:val="en-US" w:eastAsia="zh-CN" w:bidi="ar-SA"/>
        </w:rPr>
        <w:t>元，比2018年末下降</w:t>
      </w:r>
      <w:r>
        <w:rPr>
          <w:rFonts w:hint="eastAsia" w:ascii="仿宋" w:hAnsi="仿宋" w:eastAsia="仿宋" w:cs="仿宋"/>
          <w:color w:val="0C0C0C"/>
          <w:sz w:val="32"/>
          <w:szCs w:val="32"/>
          <w:u w:val="none"/>
          <w:lang w:val="en-US" w:eastAsia="zh-CN"/>
        </w:rPr>
        <w:t>59.44</w:t>
      </w:r>
      <w:r>
        <w:rPr>
          <w:rFonts w:hint="eastAsia" w:ascii="仿宋" w:hAnsi="仿宋" w:eastAsia="仿宋" w:cs="仿宋"/>
          <w:color w:val="0C0C0C"/>
          <w:spacing w:val="-6"/>
          <w:kern w:val="2"/>
          <w:sz w:val="32"/>
          <w:szCs w:val="32"/>
          <w:u w:val="none"/>
          <w:lang w:val="en-US" w:eastAsia="zh-CN" w:bidi="ar-SA"/>
        </w:rPr>
        <w:t>%；负债合计0.</w:t>
      </w:r>
      <w:r>
        <w:rPr>
          <w:rFonts w:hint="eastAsia" w:ascii="仿宋" w:hAnsi="仿宋" w:eastAsia="仿宋" w:cs="仿宋"/>
          <w:color w:val="0C0C0C"/>
          <w:sz w:val="32"/>
          <w:szCs w:val="32"/>
          <w:u w:val="none"/>
          <w:lang w:val="en-US" w:eastAsia="zh-CN"/>
        </w:rPr>
        <w:t>18亿</w:t>
      </w:r>
      <w:r>
        <w:rPr>
          <w:rFonts w:hint="eastAsia" w:ascii="仿宋" w:hAnsi="仿宋" w:eastAsia="仿宋" w:cs="仿宋"/>
          <w:color w:val="0C0C0C"/>
          <w:spacing w:val="-6"/>
          <w:kern w:val="2"/>
          <w:sz w:val="32"/>
          <w:szCs w:val="32"/>
          <w:u w:val="none"/>
          <w:lang w:val="en-US" w:eastAsia="zh-CN" w:bidi="ar-SA"/>
        </w:rPr>
        <w:t>元，比2018年末增长</w:t>
      </w:r>
      <w:r>
        <w:rPr>
          <w:rFonts w:hint="eastAsia" w:ascii="仿宋" w:hAnsi="仿宋" w:eastAsia="仿宋" w:cs="仿宋"/>
          <w:color w:val="0C0C0C"/>
          <w:sz w:val="32"/>
          <w:szCs w:val="32"/>
          <w:u w:val="none"/>
          <w:lang w:val="en-US" w:eastAsia="zh-CN"/>
        </w:rPr>
        <w:t>800</w:t>
      </w:r>
      <w:r>
        <w:rPr>
          <w:rFonts w:hint="eastAsia" w:ascii="仿宋" w:hAnsi="仿宋" w:eastAsia="仿宋" w:cs="仿宋"/>
          <w:color w:val="0C0C0C"/>
          <w:spacing w:val="-6"/>
          <w:kern w:val="2"/>
          <w:sz w:val="32"/>
          <w:szCs w:val="32"/>
          <w:u w:val="none"/>
          <w:lang w:val="en-US" w:eastAsia="zh-CN" w:bidi="ar-SA"/>
        </w:rPr>
        <w:t>%。全年实现营业收入0.</w:t>
      </w:r>
      <w:r>
        <w:rPr>
          <w:rFonts w:hint="eastAsia" w:ascii="仿宋" w:hAnsi="仿宋" w:eastAsia="仿宋" w:cs="仿宋"/>
          <w:color w:val="0C0C0C"/>
          <w:sz w:val="32"/>
          <w:szCs w:val="32"/>
          <w:u w:val="none"/>
          <w:lang w:val="en-US" w:eastAsia="zh-CN"/>
        </w:rPr>
        <w:t>46亿</w:t>
      </w:r>
      <w:r>
        <w:rPr>
          <w:rFonts w:hint="eastAsia" w:ascii="仿宋" w:hAnsi="仿宋" w:eastAsia="仿宋" w:cs="仿宋"/>
          <w:color w:val="0C0C0C"/>
          <w:spacing w:val="-6"/>
          <w:kern w:val="2"/>
          <w:sz w:val="32"/>
          <w:szCs w:val="32"/>
          <w:u w:val="none"/>
          <w:lang w:val="en-US" w:eastAsia="zh-CN" w:bidi="ar-SA"/>
        </w:rPr>
        <w:t>元，比2018年下降</w:t>
      </w:r>
      <w:r>
        <w:rPr>
          <w:rFonts w:hint="eastAsia" w:ascii="仿宋" w:hAnsi="仿宋" w:eastAsia="仿宋" w:cs="仿宋"/>
          <w:color w:val="0C0C0C"/>
          <w:sz w:val="32"/>
          <w:szCs w:val="32"/>
          <w:u w:val="none"/>
          <w:lang w:val="en-US" w:eastAsia="zh-CN"/>
        </w:rPr>
        <w:t>33.33</w:t>
      </w:r>
      <w:r>
        <w:rPr>
          <w:rFonts w:hint="eastAsia" w:ascii="仿宋" w:hAnsi="仿宋" w:eastAsia="仿宋" w:cs="仿宋"/>
          <w:color w:val="0C0C0C"/>
          <w:spacing w:val="-6"/>
          <w:kern w:val="2"/>
          <w:sz w:val="32"/>
          <w:szCs w:val="32"/>
          <w:u w:val="none"/>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行政事业及非企业法人单位年末资产11.</w:t>
      </w:r>
      <w:r>
        <w:rPr>
          <w:rFonts w:hint="eastAsia" w:ascii="仿宋" w:hAnsi="仿宋" w:eastAsia="仿宋" w:cs="仿宋"/>
          <w:color w:val="0C0C0C"/>
          <w:sz w:val="32"/>
          <w:szCs w:val="32"/>
          <w:u w:val="none"/>
          <w:lang w:val="en-US" w:eastAsia="zh-CN"/>
        </w:rPr>
        <w:t>75</w:t>
      </w:r>
      <w:r>
        <w:rPr>
          <w:rFonts w:hint="eastAsia" w:ascii="仿宋" w:hAnsi="仿宋" w:eastAsia="仿宋" w:cs="仿宋"/>
          <w:color w:val="0C0C0C"/>
          <w:spacing w:val="-6"/>
          <w:kern w:val="2"/>
          <w:sz w:val="32"/>
          <w:szCs w:val="32"/>
          <w:u w:val="none"/>
          <w:lang w:val="en-US" w:eastAsia="zh-CN" w:bidi="ar-SA"/>
        </w:rPr>
        <w:t>亿元，比2018年末下降</w:t>
      </w:r>
      <w:r>
        <w:rPr>
          <w:rFonts w:hint="eastAsia" w:ascii="仿宋" w:hAnsi="仿宋" w:eastAsia="仿宋" w:cs="仿宋"/>
          <w:color w:val="0C0C0C"/>
          <w:sz w:val="32"/>
          <w:szCs w:val="32"/>
          <w:u w:val="none"/>
          <w:lang w:val="en-US" w:eastAsia="zh-CN"/>
        </w:rPr>
        <w:t>32.51</w:t>
      </w:r>
      <w:r>
        <w:rPr>
          <w:rFonts w:hint="eastAsia" w:ascii="仿宋" w:hAnsi="仿宋" w:eastAsia="仿宋" w:cs="仿宋"/>
          <w:color w:val="0C0C0C"/>
          <w:spacing w:val="-6"/>
          <w:kern w:val="2"/>
          <w:sz w:val="32"/>
          <w:szCs w:val="32"/>
          <w:u w:val="none"/>
          <w:lang w:val="en-US" w:eastAsia="zh-CN" w:bidi="ar-SA"/>
        </w:rPr>
        <w:t>%。本年支出（费用）合计</w:t>
      </w:r>
      <w:r>
        <w:rPr>
          <w:rFonts w:hint="eastAsia" w:ascii="仿宋" w:hAnsi="仿宋" w:eastAsia="仿宋" w:cs="仿宋"/>
          <w:color w:val="0C0C0C"/>
          <w:sz w:val="32"/>
          <w:szCs w:val="32"/>
          <w:u w:val="none"/>
          <w:lang w:val="en-US" w:eastAsia="zh-CN"/>
        </w:rPr>
        <w:t>8.47</w:t>
      </w:r>
      <w:r>
        <w:rPr>
          <w:rFonts w:hint="eastAsia" w:ascii="仿宋" w:hAnsi="仿宋" w:eastAsia="仿宋" w:cs="仿宋"/>
          <w:color w:val="0C0C0C"/>
          <w:spacing w:val="-6"/>
          <w:kern w:val="2"/>
          <w:sz w:val="32"/>
          <w:szCs w:val="32"/>
          <w:u w:val="none"/>
          <w:lang w:val="en-US" w:eastAsia="zh-CN" w:bidi="ar-SA"/>
        </w:rPr>
        <w:t>亿元，比2018年增长</w:t>
      </w:r>
      <w:r>
        <w:rPr>
          <w:rFonts w:hint="eastAsia" w:ascii="仿宋" w:hAnsi="仿宋" w:eastAsia="仿宋" w:cs="仿宋"/>
          <w:color w:val="0C0C0C"/>
          <w:sz w:val="32"/>
          <w:szCs w:val="32"/>
          <w:u w:val="none"/>
          <w:lang w:val="en-US" w:eastAsia="zh-CN"/>
        </w:rPr>
        <w:t>8.98</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五、卫生和社会工作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黑体" w:hAnsi="黑体" w:eastAsia="黑体" w:cs="黑体"/>
          <w:i w:val="0"/>
          <w:caps w:val="0"/>
          <w:color w:val="0C0C0C"/>
          <w:spacing w:val="0"/>
          <w:kern w:val="0"/>
          <w:sz w:val="32"/>
          <w:szCs w:val="32"/>
          <w:highlight w:val="none"/>
          <w:lang w:val="en-US" w:eastAsia="zh-CN" w:bidi="ar"/>
        </w:rPr>
        <w:t>（一）法人单位数和从业人员</w:t>
      </w:r>
    </w:p>
    <w:p>
      <w:pPr>
        <w:pStyle w:val="2"/>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2023年末，全市共有卫生和社会工作法人单位</w:t>
      </w:r>
      <w:r>
        <w:rPr>
          <w:rFonts w:hint="eastAsia" w:ascii="仿宋" w:hAnsi="仿宋" w:eastAsia="仿宋" w:cs="仿宋"/>
          <w:color w:val="0C0C0C"/>
          <w:sz w:val="32"/>
          <w:szCs w:val="32"/>
          <w:u w:val="none"/>
          <w:lang w:val="en-US" w:eastAsia="zh-CN"/>
        </w:rPr>
        <w:t>64</w:t>
      </w:r>
      <w:r>
        <w:rPr>
          <w:rFonts w:hint="eastAsia" w:ascii="仿宋" w:hAnsi="仿宋" w:eastAsia="仿宋" w:cs="仿宋"/>
          <w:color w:val="0C0C0C"/>
          <w:spacing w:val="-6"/>
          <w:kern w:val="2"/>
          <w:sz w:val="32"/>
          <w:szCs w:val="32"/>
          <w:u w:val="none"/>
          <w:lang w:val="en-US" w:eastAsia="zh-CN" w:bidi="ar-SA"/>
        </w:rPr>
        <w:t>个，从业人员</w:t>
      </w:r>
      <w:r>
        <w:rPr>
          <w:rFonts w:hint="eastAsia" w:ascii="仿宋" w:hAnsi="仿宋" w:eastAsia="仿宋" w:cs="仿宋"/>
          <w:color w:val="0C0C0C"/>
          <w:sz w:val="32"/>
          <w:szCs w:val="32"/>
          <w:u w:val="none"/>
          <w:lang w:val="en-US" w:eastAsia="zh-CN"/>
        </w:rPr>
        <w:t>3319</w:t>
      </w:r>
      <w:r>
        <w:rPr>
          <w:rFonts w:hint="eastAsia" w:ascii="仿宋" w:hAnsi="仿宋" w:eastAsia="仿宋" w:cs="仿宋"/>
          <w:color w:val="0C0C0C"/>
          <w:spacing w:val="-6"/>
          <w:kern w:val="2"/>
          <w:sz w:val="32"/>
          <w:szCs w:val="32"/>
          <w:u w:val="none"/>
          <w:lang w:val="en-US" w:eastAsia="zh-CN" w:bidi="ar-SA"/>
        </w:rPr>
        <w:t>人，分别比2018年末增长</w:t>
      </w:r>
      <w:r>
        <w:rPr>
          <w:rFonts w:hint="eastAsia" w:ascii="仿宋" w:hAnsi="仿宋" w:eastAsia="仿宋" w:cs="仿宋"/>
          <w:color w:val="0C0C0C"/>
          <w:sz w:val="32"/>
          <w:szCs w:val="32"/>
          <w:u w:val="none"/>
          <w:lang w:val="en-US" w:eastAsia="zh-CN"/>
        </w:rPr>
        <w:t>12.28</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22.34</w:t>
      </w:r>
      <w:r>
        <w:rPr>
          <w:rFonts w:hint="eastAsia" w:ascii="仿宋" w:hAnsi="仿宋" w:eastAsia="仿宋" w:cs="仿宋"/>
          <w:color w:val="0C0C0C"/>
          <w:spacing w:val="-6"/>
          <w:kern w:val="2"/>
          <w:sz w:val="32"/>
          <w:szCs w:val="32"/>
          <w:u w:val="none"/>
          <w:lang w:val="en-US" w:eastAsia="zh-CN" w:bidi="ar-SA"/>
        </w:rPr>
        <w:t>%。其中，行政事业及非企业法人单位</w:t>
      </w:r>
      <w:r>
        <w:rPr>
          <w:rFonts w:hint="eastAsia" w:ascii="仿宋" w:hAnsi="仿宋" w:eastAsia="仿宋" w:cs="仿宋"/>
          <w:color w:val="0C0C0C"/>
          <w:sz w:val="32"/>
          <w:szCs w:val="32"/>
          <w:u w:val="none"/>
          <w:lang w:val="en-US" w:eastAsia="zh-CN"/>
        </w:rPr>
        <w:t>25</w:t>
      </w:r>
      <w:r>
        <w:rPr>
          <w:rFonts w:hint="eastAsia" w:ascii="仿宋" w:hAnsi="仿宋" w:eastAsia="仿宋" w:cs="仿宋"/>
          <w:color w:val="0C0C0C"/>
          <w:spacing w:val="-6"/>
          <w:kern w:val="2"/>
          <w:sz w:val="32"/>
          <w:szCs w:val="32"/>
          <w:u w:val="none"/>
          <w:lang w:val="en-US" w:eastAsia="zh-CN" w:bidi="ar-SA"/>
        </w:rPr>
        <w:t>个，比2018年末增长</w:t>
      </w:r>
      <w:r>
        <w:rPr>
          <w:rFonts w:hint="eastAsia" w:ascii="仿宋" w:hAnsi="仿宋" w:eastAsia="仿宋" w:cs="仿宋"/>
          <w:color w:val="0C0C0C"/>
          <w:sz w:val="32"/>
          <w:szCs w:val="32"/>
          <w:u w:val="none"/>
          <w:lang w:val="en-US" w:eastAsia="zh-CN"/>
        </w:rPr>
        <w:t>4.17</w:t>
      </w:r>
      <w:r>
        <w:rPr>
          <w:rFonts w:hint="eastAsia" w:ascii="仿宋" w:hAnsi="仿宋" w:eastAsia="仿宋" w:cs="仿宋"/>
          <w:color w:val="0C0C0C"/>
          <w:spacing w:val="-6"/>
          <w:kern w:val="2"/>
          <w:sz w:val="32"/>
          <w:szCs w:val="32"/>
          <w:u w:val="none"/>
          <w:lang w:val="en-US" w:eastAsia="zh-CN" w:bidi="ar-SA"/>
        </w:rPr>
        <w:t>%；从业人员</w:t>
      </w:r>
      <w:r>
        <w:rPr>
          <w:rFonts w:hint="eastAsia" w:ascii="仿宋" w:hAnsi="仿宋" w:eastAsia="仿宋" w:cs="仿宋"/>
          <w:color w:val="0C0C0C"/>
          <w:sz w:val="32"/>
          <w:szCs w:val="32"/>
          <w:u w:val="none"/>
          <w:lang w:val="en-US" w:eastAsia="zh-CN"/>
        </w:rPr>
        <w:t>2615</w:t>
      </w:r>
      <w:r>
        <w:rPr>
          <w:rFonts w:hint="eastAsia" w:ascii="仿宋" w:hAnsi="仿宋" w:eastAsia="仿宋" w:cs="仿宋"/>
          <w:color w:val="0C0C0C"/>
          <w:spacing w:val="-6"/>
          <w:kern w:val="2"/>
          <w:sz w:val="32"/>
          <w:szCs w:val="32"/>
          <w:u w:val="none"/>
          <w:lang w:val="en-US" w:eastAsia="zh-CN" w:bidi="ar-SA"/>
        </w:rPr>
        <w:t>人，增长</w:t>
      </w:r>
      <w:r>
        <w:rPr>
          <w:rFonts w:hint="eastAsia" w:ascii="仿宋" w:hAnsi="仿宋" w:eastAsia="仿宋" w:cs="仿宋"/>
          <w:color w:val="0C0C0C"/>
          <w:sz w:val="32"/>
          <w:szCs w:val="32"/>
          <w:u w:val="none"/>
          <w:lang w:val="en-US" w:eastAsia="zh-CN"/>
        </w:rPr>
        <w:t>21.68</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kinsoku/>
        <w:wordWrap/>
        <w:topLinePunct w:val="0"/>
        <w:autoSpaceDE/>
        <w:autoSpaceDN/>
        <w:bidi w:val="0"/>
        <w:spacing w:line="600" w:lineRule="exact"/>
        <w:rPr>
          <w:rFonts w:hint="eastAsia" w:ascii="黑体" w:hAnsi="黑体" w:eastAsia="黑体" w:cs="黑体"/>
          <w:color w:val="0C0C0C"/>
          <w:sz w:val="32"/>
          <w:szCs w:val="32"/>
          <w:lang w:val="en-US" w:eastAsia="zh-CN"/>
        </w:rPr>
      </w:pPr>
      <w:r>
        <w:rPr>
          <w:rFonts w:hint="eastAsia" w:ascii="黑体" w:hAnsi="黑体" w:eastAsia="黑体" w:cs="黑体"/>
          <w:color w:val="0C0C0C"/>
          <w:spacing w:val="-6"/>
          <w:kern w:val="2"/>
          <w:sz w:val="32"/>
          <w:szCs w:val="32"/>
          <w:u w:val="none"/>
          <w:lang w:val="en-US" w:eastAsia="zh-CN" w:bidi="ar-SA"/>
        </w:rPr>
        <w:t>（二）主要经济指标</w:t>
      </w:r>
    </w:p>
    <w:p>
      <w:pPr>
        <w:pStyle w:val="2"/>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2023年末，卫生和社会工作企业法人单位资产总计</w:t>
      </w:r>
      <w:r>
        <w:rPr>
          <w:rFonts w:hint="eastAsia" w:ascii="仿宋" w:hAnsi="仿宋" w:eastAsia="仿宋" w:cs="仿宋"/>
          <w:color w:val="0C0C0C"/>
          <w:sz w:val="32"/>
          <w:szCs w:val="32"/>
          <w:u w:val="none"/>
          <w:lang w:val="en-US" w:eastAsia="zh-CN"/>
        </w:rPr>
        <w:t>2.98亿</w:t>
      </w:r>
      <w:r>
        <w:rPr>
          <w:rFonts w:hint="eastAsia" w:ascii="仿宋" w:hAnsi="仿宋" w:eastAsia="仿宋" w:cs="仿宋"/>
          <w:color w:val="0C0C0C"/>
          <w:spacing w:val="-6"/>
          <w:kern w:val="2"/>
          <w:sz w:val="32"/>
          <w:szCs w:val="32"/>
          <w:u w:val="none"/>
          <w:lang w:val="en-US" w:eastAsia="zh-CN" w:bidi="ar-SA"/>
        </w:rPr>
        <w:t>元，比2018年末增长</w:t>
      </w:r>
      <w:r>
        <w:rPr>
          <w:rFonts w:hint="eastAsia" w:ascii="仿宋" w:hAnsi="仿宋" w:eastAsia="仿宋" w:cs="仿宋"/>
          <w:color w:val="0C0C0C"/>
          <w:sz w:val="32"/>
          <w:szCs w:val="32"/>
          <w:u w:val="none"/>
          <w:lang w:val="en-US" w:eastAsia="zh-CN"/>
        </w:rPr>
        <w:t>45.37</w:t>
      </w:r>
      <w:r>
        <w:rPr>
          <w:rFonts w:hint="eastAsia" w:ascii="仿宋" w:hAnsi="仿宋" w:eastAsia="仿宋" w:cs="仿宋"/>
          <w:color w:val="0C0C0C"/>
          <w:spacing w:val="-6"/>
          <w:kern w:val="2"/>
          <w:sz w:val="32"/>
          <w:szCs w:val="32"/>
          <w:u w:val="none"/>
          <w:lang w:val="en-US" w:eastAsia="zh-CN" w:bidi="ar-SA"/>
        </w:rPr>
        <w:t>%；负债合计</w:t>
      </w:r>
      <w:r>
        <w:rPr>
          <w:rFonts w:hint="eastAsia" w:ascii="仿宋" w:hAnsi="仿宋" w:eastAsia="仿宋" w:cs="仿宋"/>
          <w:color w:val="0C0C0C"/>
          <w:sz w:val="32"/>
          <w:szCs w:val="32"/>
          <w:u w:val="none"/>
          <w:lang w:val="en-US" w:eastAsia="zh-CN"/>
        </w:rPr>
        <w:t>1.03亿</w:t>
      </w:r>
      <w:r>
        <w:rPr>
          <w:rFonts w:hint="eastAsia" w:ascii="仿宋" w:hAnsi="仿宋" w:eastAsia="仿宋" w:cs="仿宋"/>
          <w:color w:val="0C0C0C"/>
          <w:spacing w:val="-6"/>
          <w:kern w:val="2"/>
          <w:sz w:val="32"/>
          <w:szCs w:val="32"/>
          <w:u w:val="none"/>
          <w:lang w:val="en-US" w:eastAsia="zh-CN" w:bidi="ar-SA"/>
        </w:rPr>
        <w:t>元，比2018年末增长</w:t>
      </w:r>
      <w:r>
        <w:rPr>
          <w:rFonts w:hint="eastAsia" w:ascii="仿宋" w:hAnsi="仿宋" w:eastAsia="仿宋" w:cs="仿宋"/>
          <w:color w:val="0C0C0C"/>
          <w:sz w:val="32"/>
          <w:szCs w:val="32"/>
          <w:u w:val="none"/>
          <w:lang w:val="en-US" w:eastAsia="zh-CN"/>
        </w:rPr>
        <w:t>60.94</w:t>
      </w:r>
      <w:r>
        <w:rPr>
          <w:rFonts w:hint="eastAsia" w:ascii="仿宋" w:hAnsi="仿宋" w:eastAsia="仿宋" w:cs="仿宋"/>
          <w:color w:val="0C0C0C"/>
          <w:spacing w:val="-6"/>
          <w:kern w:val="2"/>
          <w:sz w:val="32"/>
          <w:szCs w:val="32"/>
          <w:u w:val="none"/>
          <w:lang w:val="en-US" w:eastAsia="zh-CN" w:bidi="ar-SA"/>
        </w:rPr>
        <w:t>%。全年实现营业收入</w:t>
      </w:r>
      <w:r>
        <w:rPr>
          <w:rFonts w:hint="eastAsia" w:ascii="仿宋" w:hAnsi="仿宋" w:eastAsia="仿宋" w:cs="仿宋"/>
          <w:color w:val="0C0C0C"/>
          <w:sz w:val="32"/>
          <w:szCs w:val="32"/>
          <w:u w:val="none"/>
          <w:lang w:val="en-US" w:eastAsia="zh-CN"/>
        </w:rPr>
        <w:t>1.14亿</w:t>
      </w:r>
      <w:r>
        <w:rPr>
          <w:rFonts w:hint="eastAsia" w:ascii="仿宋" w:hAnsi="仿宋" w:eastAsia="仿宋" w:cs="仿宋"/>
          <w:color w:val="0C0C0C"/>
          <w:spacing w:val="-6"/>
          <w:kern w:val="2"/>
          <w:sz w:val="32"/>
          <w:szCs w:val="32"/>
          <w:u w:val="none"/>
          <w:lang w:val="en-US" w:eastAsia="zh-CN" w:bidi="ar-SA"/>
        </w:rPr>
        <w:t>元，比2018年增长</w:t>
      </w:r>
      <w:r>
        <w:rPr>
          <w:rFonts w:hint="eastAsia" w:ascii="仿宋" w:hAnsi="仿宋" w:eastAsia="仿宋" w:cs="仿宋"/>
          <w:color w:val="0C0C0C"/>
          <w:sz w:val="32"/>
          <w:szCs w:val="32"/>
          <w:u w:val="none"/>
          <w:lang w:val="en-US" w:eastAsia="zh-CN"/>
        </w:rPr>
        <w:t>60.56</w:t>
      </w:r>
      <w:r>
        <w:rPr>
          <w:rFonts w:hint="eastAsia" w:ascii="仿宋" w:hAnsi="仿宋" w:eastAsia="仿宋" w:cs="仿宋"/>
          <w:color w:val="0C0C0C"/>
          <w:spacing w:val="-6"/>
          <w:kern w:val="2"/>
          <w:sz w:val="32"/>
          <w:szCs w:val="32"/>
          <w:u w:val="none"/>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行政事业及非企业法人单位年末资产</w:t>
      </w:r>
      <w:r>
        <w:rPr>
          <w:rFonts w:hint="eastAsia" w:ascii="仿宋" w:hAnsi="仿宋" w:eastAsia="仿宋" w:cs="仿宋"/>
          <w:color w:val="0C0C0C"/>
          <w:sz w:val="32"/>
          <w:szCs w:val="32"/>
          <w:u w:val="none"/>
          <w:lang w:val="en-US" w:eastAsia="zh-CN"/>
        </w:rPr>
        <w:t>10.73</w:t>
      </w:r>
      <w:r>
        <w:rPr>
          <w:rFonts w:hint="eastAsia" w:ascii="仿宋" w:hAnsi="仿宋" w:eastAsia="仿宋" w:cs="仿宋"/>
          <w:color w:val="0C0C0C"/>
          <w:spacing w:val="-6"/>
          <w:kern w:val="2"/>
          <w:sz w:val="32"/>
          <w:szCs w:val="32"/>
          <w:u w:val="none"/>
          <w:lang w:val="en-US" w:eastAsia="zh-CN" w:bidi="ar-SA"/>
        </w:rPr>
        <w:t>亿元，比2018年末增长</w:t>
      </w:r>
      <w:r>
        <w:rPr>
          <w:rFonts w:hint="eastAsia" w:ascii="仿宋" w:hAnsi="仿宋" w:eastAsia="仿宋" w:cs="仿宋"/>
          <w:color w:val="0C0C0C"/>
          <w:sz w:val="32"/>
          <w:szCs w:val="32"/>
          <w:u w:val="none"/>
          <w:lang w:val="en-US" w:eastAsia="zh-CN"/>
        </w:rPr>
        <w:t>54.83</w:t>
      </w:r>
      <w:r>
        <w:rPr>
          <w:rFonts w:hint="eastAsia" w:ascii="仿宋" w:hAnsi="仿宋" w:eastAsia="仿宋" w:cs="仿宋"/>
          <w:color w:val="0C0C0C"/>
          <w:spacing w:val="-6"/>
          <w:kern w:val="2"/>
          <w:sz w:val="32"/>
          <w:szCs w:val="32"/>
          <w:u w:val="none"/>
          <w:lang w:val="en-US" w:eastAsia="zh-CN" w:bidi="ar-SA"/>
        </w:rPr>
        <w:t>%。本年支出（费用）合计</w:t>
      </w:r>
      <w:r>
        <w:rPr>
          <w:rFonts w:hint="eastAsia" w:ascii="仿宋" w:hAnsi="仿宋" w:eastAsia="仿宋" w:cs="仿宋"/>
          <w:color w:val="0C0C0C"/>
          <w:sz w:val="32"/>
          <w:szCs w:val="32"/>
          <w:u w:val="none"/>
          <w:lang w:val="en-US" w:eastAsia="zh-CN"/>
        </w:rPr>
        <w:t>8.14</w:t>
      </w:r>
      <w:r>
        <w:rPr>
          <w:rFonts w:hint="eastAsia" w:ascii="仿宋" w:hAnsi="仿宋" w:eastAsia="仿宋" w:cs="仿宋"/>
          <w:color w:val="0C0C0C"/>
          <w:spacing w:val="-6"/>
          <w:kern w:val="2"/>
          <w:sz w:val="32"/>
          <w:szCs w:val="32"/>
          <w:u w:val="none"/>
          <w:lang w:val="en-US" w:eastAsia="zh-CN" w:bidi="ar-SA"/>
        </w:rPr>
        <w:t>亿元，比2018年增长</w:t>
      </w:r>
      <w:r>
        <w:rPr>
          <w:rFonts w:hint="eastAsia" w:ascii="仿宋" w:hAnsi="仿宋" w:eastAsia="仿宋" w:cs="仿宋"/>
          <w:color w:val="0C0C0C"/>
          <w:sz w:val="32"/>
          <w:szCs w:val="32"/>
          <w:u w:val="none"/>
          <w:lang w:val="en-US" w:eastAsia="zh-CN"/>
        </w:rPr>
        <w:t>65.11</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六、文化、体育和娱乐业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黑体" w:hAnsi="黑体" w:eastAsia="黑体" w:cs="黑体"/>
          <w:i w:val="0"/>
          <w:caps w:val="0"/>
          <w:color w:val="0C0C0C"/>
          <w:spacing w:val="0"/>
          <w:kern w:val="0"/>
          <w:sz w:val="32"/>
          <w:szCs w:val="32"/>
          <w:highlight w:val="none"/>
          <w:lang w:val="en-US" w:eastAsia="zh-CN" w:bidi="ar"/>
        </w:rPr>
        <w:t>（一）法人单位数和从业人员</w:t>
      </w:r>
    </w:p>
    <w:p>
      <w:pPr>
        <w:pStyle w:val="2"/>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2023年末，全市共有文化、体育和娱乐业法人单位</w:t>
      </w:r>
      <w:r>
        <w:rPr>
          <w:rFonts w:hint="eastAsia" w:ascii="仿宋" w:hAnsi="仿宋" w:eastAsia="仿宋" w:cs="仿宋"/>
          <w:color w:val="0C0C0C"/>
          <w:sz w:val="32"/>
          <w:szCs w:val="32"/>
          <w:u w:val="none"/>
          <w:lang w:val="en-US" w:eastAsia="zh-CN"/>
        </w:rPr>
        <w:t>160</w:t>
      </w:r>
      <w:r>
        <w:rPr>
          <w:rFonts w:hint="eastAsia" w:ascii="仿宋" w:hAnsi="仿宋" w:eastAsia="仿宋" w:cs="仿宋"/>
          <w:color w:val="0C0C0C"/>
          <w:spacing w:val="-6"/>
          <w:kern w:val="2"/>
          <w:sz w:val="32"/>
          <w:szCs w:val="32"/>
          <w:u w:val="none"/>
          <w:lang w:val="en-US" w:eastAsia="zh-CN" w:bidi="ar-SA"/>
        </w:rPr>
        <w:t>个，从业人员</w:t>
      </w:r>
      <w:r>
        <w:rPr>
          <w:rFonts w:hint="eastAsia" w:ascii="仿宋" w:hAnsi="仿宋" w:eastAsia="仿宋" w:cs="仿宋"/>
          <w:color w:val="0C0C0C"/>
          <w:sz w:val="32"/>
          <w:szCs w:val="32"/>
          <w:u w:val="none"/>
          <w:lang w:val="en-US" w:eastAsia="zh-CN"/>
        </w:rPr>
        <w:t>1151</w:t>
      </w:r>
      <w:r>
        <w:rPr>
          <w:rFonts w:hint="eastAsia" w:ascii="仿宋" w:hAnsi="仿宋" w:eastAsia="仿宋" w:cs="仿宋"/>
          <w:color w:val="0C0C0C"/>
          <w:spacing w:val="-6"/>
          <w:kern w:val="2"/>
          <w:sz w:val="32"/>
          <w:szCs w:val="32"/>
          <w:u w:val="none"/>
          <w:lang w:val="en-US" w:eastAsia="zh-CN" w:bidi="ar-SA"/>
        </w:rPr>
        <w:t>人，分别比2018年末增长</w:t>
      </w:r>
      <w:r>
        <w:rPr>
          <w:rFonts w:hint="eastAsia" w:ascii="仿宋" w:hAnsi="仿宋" w:eastAsia="仿宋" w:cs="仿宋"/>
          <w:color w:val="0C0C0C"/>
          <w:sz w:val="32"/>
          <w:szCs w:val="32"/>
          <w:u w:val="none"/>
          <w:lang w:val="en-US" w:eastAsia="zh-CN"/>
        </w:rPr>
        <w:t>201.89</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117.99</w:t>
      </w:r>
      <w:r>
        <w:rPr>
          <w:rFonts w:hint="eastAsia" w:ascii="仿宋" w:hAnsi="仿宋" w:eastAsia="仿宋" w:cs="仿宋"/>
          <w:color w:val="0C0C0C"/>
          <w:spacing w:val="-6"/>
          <w:kern w:val="2"/>
          <w:sz w:val="32"/>
          <w:szCs w:val="32"/>
          <w:u w:val="none"/>
          <w:lang w:val="en-US" w:eastAsia="zh-CN" w:bidi="ar-SA"/>
        </w:rPr>
        <w:t>%。其中，企业法人单位</w:t>
      </w:r>
      <w:r>
        <w:rPr>
          <w:rFonts w:hint="eastAsia" w:ascii="仿宋" w:hAnsi="仿宋" w:eastAsia="仿宋" w:cs="仿宋"/>
          <w:color w:val="0C0C0C"/>
          <w:sz w:val="32"/>
          <w:szCs w:val="32"/>
          <w:u w:val="none"/>
          <w:lang w:val="en-US" w:eastAsia="zh-CN"/>
        </w:rPr>
        <w:t>153</w:t>
      </w:r>
      <w:r>
        <w:rPr>
          <w:rFonts w:hint="eastAsia" w:ascii="仿宋" w:hAnsi="仿宋" w:eastAsia="仿宋" w:cs="仿宋"/>
          <w:color w:val="0C0C0C"/>
          <w:spacing w:val="-6"/>
          <w:kern w:val="2"/>
          <w:sz w:val="32"/>
          <w:szCs w:val="32"/>
          <w:u w:val="none"/>
          <w:lang w:val="en-US" w:eastAsia="zh-CN" w:bidi="ar-SA"/>
        </w:rPr>
        <w:t>个，从业人员</w:t>
      </w:r>
      <w:r>
        <w:rPr>
          <w:rFonts w:hint="eastAsia" w:ascii="仿宋" w:hAnsi="仿宋" w:eastAsia="仿宋" w:cs="仿宋"/>
          <w:color w:val="0C0C0C"/>
          <w:sz w:val="32"/>
          <w:szCs w:val="32"/>
          <w:u w:val="none"/>
          <w:lang w:val="en-US" w:eastAsia="zh-CN"/>
        </w:rPr>
        <w:t>1059</w:t>
      </w:r>
      <w:r>
        <w:rPr>
          <w:rFonts w:hint="eastAsia" w:ascii="仿宋" w:hAnsi="仿宋" w:eastAsia="仿宋" w:cs="仿宋"/>
          <w:color w:val="0C0C0C"/>
          <w:spacing w:val="-6"/>
          <w:kern w:val="2"/>
          <w:sz w:val="32"/>
          <w:szCs w:val="32"/>
          <w:u w:val="none"/>
          <w:lang w:val="en-US" w:eastAsia="zh-CN" w:bidi="ar-SA"/>
        </w:rPr>
        <w:t>人，分别比2018年末增长</w:t>
      </w:r>
      <w:r>
        <w:rPr>
          <w:rFonts w:hint="eastAsia" w:ascii="仿宋" w:hAnsi="仿宋" w:eastAsia="仿宋" w:cs="仿宋"/>
          <w:color w:val="0C0C0C"/>
          <w:sz w:val="32"/>
          <w:szCs w:val="32"/>
          <w:u w:val="none"/>
          <w:lang w:val="en-US" w:eastAsia="zh-CN"/>
        </w:rPr>
        <w:t>212.24</w:t>
      </w:r>
      <w:r>
        <w:rPr>
          <w:rFonts w:hint="eastAsia" w:ascii="仿宋" w:hAnsi="仿宋" w:eastAsia="仿宋" w:cs="仿宋"/>
          <w:color w:val="0C0C0C"/>
          <w:spacing w:val="-6"/>
          <w:kern w:val="2"/>
          <w:sz w:val="32"/>
          <w:szCs w:val="32"/>
          <w:u w:val="none"/>
          <w:lang w:val="en-US" w:eastAsia="zh-CN" w:bidi="ar-SA"/>
        </w:rPr>
        <w:t>%和</w:t>
      </w:r>
      <w:r>
        <w:rPr>
          <w:rFonts w:hint="eastAsia" w:ascii="仿宋" w:hAnsi="仿宋" w:eastAsia="仿宋" w:cs="仿宋"/>
          <w:color w:val="0C0C0C"/>
          <w:sz w:val="32"/>
          <w:szCs w:val="32"/>
          <w:u w:val="none"/>
          <w:lang w:val="en-US" w:eastAsia="zh-CN"/>
        </w:rPr>
        <w:t>175.78</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kinsoku/>
        <w:wordWrap/>
        <w:topLinePunct w:val="0"/>
        <w:autoSpaceDE/>
        <w:autoSpaceDN/>
        <w:bidi w:val="0"/>
        <w:spacing w:line="600" w:lineRule="exact"/>
        <w:rPr>
          <w:rFonts w:hint="eastAsia" w:ascii="黑体" w:hAnsi="黑体" w:eastAsia="黑体" w:cs="黑体"/>
          <w:color w:val="0C0C0C"/>
          <w:sz w:val="32"/>
          <w:szCs w:val="32"/>
          <w:lang w:val="en-US" w:eastAsia="zh-CN"/>
        </w:rPr>
      </w:pPr>
      <w:r>
        <w:rPr>
          <w:rFonts w:hint="eastAsia" w:ascii="黑体" w:hAnsi="黑体" w:eastAsia="黑体" w:cs="黑体"/>
          <w:color w:val="0C0C0C"/>
          <w:spacing w:val="-6"/>
          <w:kern w:val="2"/>
          <w:sz w:val="32"/>
          <w:szCs w:val="32"/>
          <w:u w:val="none"/>
          <w:lang w:val="en-US" w:eastAsia="zh-CN" w:bidi="ar-SA"/>
        </w:rPr>
        <w:t>（二）主要经济指标</w:t>
      </w:r>
    </w:p>
    <w:p>
      <w:pPr>
        <w:pStyle w:val="2"/>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2023年末，文化、体育和娱乐业企业法人单位资产总计</w:t>
      </w:r>
      <w:r>
        <w:rPr>
          <w:rFonts w:hint="eastAsia" w:ascii="仿宋" w:hAnsi="仿宋" w:eastAsia="仿宋" w:cs="仿宋"/>
          <w:color w:val="0C0C0C"/>
          <w:sz w:val="32"/>
          <w:szCs w:val="32"/>
          <w:u w:val="none"/>
          <w:lang w:val="en-US" w:eastAsia="zh-CN"/>
        </w:rPr>
        <w:t>30.06亿</w:t>
      </w:r>
      <w:r>
        <w:rPr>
          <w:rFonts w:hint="eastAsia" w:ascii="仿宋" w:hAnsi="仿宋" w:eastAsia="仿宋" w:cs="仿宋"/>
          <w:color w:val="0C0C0C"/>
          <w:spacing w:val="-6"/>
          <w:kern w:val="2"/>
          <w:sz w:val="32"/>
          <w:szCs w:val="32"/>
          <w:u w:val="none"/>
          <w:lang w:val="en-US" w:eastAsia="zh-CN" w:bidi="ar-SA"/>
        </w:rPr>
        <w:t>元，比2018年末增长</w:t>
      </w:r>
      <w:r>
        <w:rPr>
          <w:rFonts w:hint="eastAsia" w:ascii="仿宋" w:hAnsi="仿宋" w:eastAsia="仿宋" w:cs="仿宋"/>
          <w:color w:val="0C0C0C"/>
          <w:sz w:val="32"/>
          <w:szCs w:val="32"/>
          <w:u w:val="none"/>
          <w:lang w:val="en-US" w:eastAsia="zh-CN"/>
        </w:rPr>
        <w:t>538.22</w:t>
      </w:r>
      <w:r>
        <w:rPr>
          <w:rFonts w:hint="eastAsia" w:ascii="仿宋" w:hAnsi="仿宋" w:eastAsia="仿宋" w:cs="仿宋"/>
          <w:color w:val="0C0C0C"/>
          <w:spacing w:val="-6"/>
          <w:kern w:val="2"/>
          <w:sz w:val="32"/>
          <w:szCs w:val="32"/>
          <w:u w:val="none"/>
          <w:lang w:val="en-US" w:eastAsia="zh-CN" w:bidi="ar-SA"/>
        </w:rPr>
        <w:t>%；负债合计</w:t>
      </w:r>
      <w:r>
        <w:rPr>
          <w:rFonts w:hint="eastAsia" w:ascii="仿宋" w:hAnsi="仿宋" w:eastAsia="仿宋" w:cs="仿宋"/>
          <w:color w:val="0C0C0C"/>
          <w:sz w:val="32"/>
          <w:szCs w:val="32"/>
          <w:u w:val="none"/>
          <w:lang w:val="en-US" w:eastAsia="zh-CN"/>
        </w:rPr>
        <w:t>35.58亿</w:t>
      </w:r>
      <w:r>
        <w:rPr>
          <w:rFonts w:hint="eastAsia" w:ascii="仿宋" w:hAnsi="仿宋" w:eastAsia="仿宋" w:cs="仿宋"/>
          <w:color w:val="0C0C0C"/>
          <w:spacing w:val="-6"/>
          <w:kern w:val="2"/>
          <w:sz w:val="32"/>
          <w:szCs w:val="32"/>
          <w:u w:val="none"/>
          <w:lang w:val="en-US" w:eastAsia="zh-CN" w:bidi="ar-SA"/>
        </w:rPr>
        <w:t>元，比2018年末增长</w:t>
      </w:r>
      <w:r>
        <w:rPr>
          <w:rFonts w:hint="eastAsia" w:ascii="仿宋" w:hAnsi="仿宋" w:eastAsia="仿宋" w:cs="仿宋"/>
          <w:color w:val="0C0C0C"/>
          <w:sz w:val="32"/>
          <w:szCs w:val="32"/>
          <w:u w:val="none"/>
          <w:lang w:val="en-US" w:eastAsia="zh-CN"/>
        </w:rPr>
        <w:t>1311.90</w:t>
      </w:r>
      <w:r>
        <w:rPr>
          <w:rFonts w:hint="eastAsia" w:ascii="仿宋" w:hAnsi="仿宋" w:eastAsia="仿宋" w:cs="仿宋"/>
          <w:color w:val="0C0C0C"/>
          <w:spacing w:val="-6"/>
          <w:kern w:val="2"/>
          <w:sz w:val="32"/>
          <w:szCs w:val="32"/>
          <w:u w:val="none"/>
          <w:lang w:val="en-US" w:eastAsia="zh-CN" w:bidi="ar-SA"/>
        </w:rPr>
        <w:t>%。全年实现营业收入0.</w:t>
      </w:r>
      <w:r>
        <w:rPr>
          <w:rFonts w:hint="eastAsia" w:ascii="仿宋" w:hAnsi="仿宋" w:eastAsia="仿宋" w:cs="仿宋"/>
          <w:color w:val="0C0C0C"/>
          <w:sz w:val="32"/>
          <w:szCs w:val="32"/>
          <w:u w:val="none"/>
          <w:lang w:val="en-US" w:eastAsia="zh-CN"/>
        </w:rPr>
        <w:t>81亿</w:t>
      </w:r>
      <w:r>
        <w:rPr>
          <w:rFonts w:hint="eastAsia" w:ascii="仿宋" w:hAnsi="仿宋" w:eastAsia="仿宋" w:cs="仿宋"/>
          <w:color w:val="0C0C0C"/>
          <w:spacing w:val="-6"/>
          <w:kern w:val="2"/>
          <w:sz w:val="32"/>
          <w:szCs w:val="32"/>
          <w:u w:val="none"/>
          <w:lang w:val="en-US" w:eastAsia="zh-CN" w:bidi="ar-SA"/>
        </w:rPr>
        <w:t>元，比2018年增长</w:t>
      </w:r>
      <w:r>
        <w:rPr>
          <w:rFonts w:hint="eastAsia" w:ascii="仿宋" w:hAnsi="仿宋" w:eastAsia="仿宋" w:cs="仿宋"/>
          <w:color w:val="0C0C0C"/>
          <w:sz w:val="32"/>
          <w:szCs w:val="32"/>
          <w:u w:val="none"/>
          <w:lang w:val="en-US" w:eastAsia="zh-CN"/>
        </w:rPr>
        <w:t>153.13</w:t>
      </w:r>
      <w:r>
        <w:rPr>
          <w:rFonts w:hint="eastAsia" w:ascii="仿宋" w:hAnsi="仿宋" w:eastAsia="仿宋" w:cs="仿宋"/>
          <w:color w:val="0C0C0C"/>
          <w:spacing w:val="-6"/>
          <w:kern w:val="2"/>
          <w:sz w:val="32"/>
          <w:szCs w:val="32"/>
          <w:u w:val="none"/>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行政事业及非企业法人单位年末资产</w:t>
      </w:r>
      <w:r>
        <w:rPr>
          <w:rFonts w:hint="eastAsia" w:ascii="仿宋" w:hAnsi="仿宋" w:eastAsia="仿宋" w:cs="仿宋"/>
          <w:color w:val="0C0C0C"/>
          <w:sz w:val="32"/>
          <w:szCs w:val="32"/>
          <w:u w:val="none"/>
          <w:lang w:val="en-US" w:eastAsia="zh-CN"/>
        </w:rPr>
        <w:t>0.67</w:t>
      </w:r>
      <w:r>
        <w:rPr>
          <w:rFonts w:hint="eastAsia" w:ascii="仿宋" w:hAnsi="仿宋" w:eastAsia="仿宋" w:cs="仿宋"/>
          <w:color w:val="0C0C0C"/>
          <w:spacing w:val="-6"/>
          <w:kern w:val="2"/>
          <w:sz w:val="32"/>
          <w:szCs w:val="32"/>
          <w:u w:val="none"/>
          <w:lang w:val="en-US" w:eastAsia="zh-CN" w:bidi="ar-SA"/>
        </w:rPr>
        <w:t>亿元，比2018年末下降</w:t>
      </w:r>
      <w:r>
        <w:rPr>
          <w:rFonts w:hint="eastAsia" w:ascii="仿宋" w:hAnsi="仿宋" w:eastAsia="仿宋" w:cs="仿宋"/>
          <w:color w:val="0C0C0C"/>
          <w:sz w:val="32"/>
          <w:szCs w:val="32"/>
          <w:u w:val="none"/>
          <w:lang w:val="en-US" w:eastAsia="zh-CN"/>
        </w:rPr>
        <w:t>9.46</w:t>
      </w:r>
      <w:r>
        <w:rPr>
          <w:rFonts w:hint="eastAsia" w:ascii="仿宋" w:hAnsi="仿宋" w:eastAsia="仿宋" w:cs="仿宋"/>
          <w:color w:val="0C0C0C"/>
          <w:spacing w:val="-6"/>
          <w:kern w:val="2"/>
          <w:sz w:val="32"/>
          <w:szCs w:val="32"/>
          <w:u w:val="none"/>
          <w:lang w:val="en-US" w:eastAsia="zh-CN" w:bidi="ar-SA"/>
        </w:rPr>
        <w:t>%。本年支出（费用）合计</w:t>
      </w:r>
      <w:r>
        <w:rPr>
          <w:rFonts w:hint="eastAsia" w:ascii="仿宋" w:hAnsi="仿宋" w:eastAsia="仿宋" w:cs="仿宋"/>
          <w:color w:val="0C0C0C"/>
          <w:sz w:val="32"/>
          <w:szCs w:val="32"/>
          <w:u w:val="none"/>
          <w:lang w:val="en-US" w:eastAsia="zh-CN"/>
        </w:rPr>
        <w:t>0.2</w:t>
      </w:r>
      <w:r>
        <w:rPr>
          <w:rFonts w:hint="eastAsia" w:ascii="仿宋" w:hAnsi="仿宋" w:eastAsia="仿宋" w:cs="仿宋"/>
          <w:color w:val="0C0C0C"/>
          <w:spacing w:val="-6"/>
          <w:kern w:val="2"/>
          <w:sz w:val="32"/>
          <w:szCs w:val="32"/>
          <w:u w:val="none"/>
          <w:lang w:val="en-US" w:eastAsia="zh-CN" w:bidi="ar-SA"/>
        </w:rPr>
        <w:t>亿元，比2018年下降</w:t>
      </w:r>
      <w:r>
        <w:rPr>
          <w:rFonts w:hint="eastAsia" w:ascii="仿宋" w:hAnsi="仿宋" w:eastAsia="仿宋" w:cs="仿宋"/>
          <w:color w:val="0C0C0C"/>
          <w:sz w:val="32"/>
          <w:szCs w:val="32"/>
          <w:u w:val="none"/>
          <w:lang w:val="en-US" w:eastAsia="zh-CN"/>
        </w:rPr>
        <w:t>5.26</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七、公共管理、社会保障和社会组织</w:t>
      </w:r>
    </w:p>
    <w:p>
      <w:pPr>
        <w:pStyle w:val="2"/>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2023年末，全市共有公共管理、社会保障和社会组织法人单位415个，比2018年末增长15.28%；从业人员7839人，增长4.62%。行政事业及非企业法人单位本年支出（费用）合计45.77亿元，比2018年增长25.64%。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pPr>
        <w:pStyle w:val="4"/>
        <w:rPr>
          <w:rFonts w:hint="eastAsia" w:ascii="Times New Roman" w:hAnsi="Times New Roman" w:eastAsia="黑体" w:cs="黑体"/>
          <w:b w:val="0"/>
          <w:bCs/>
          <w:i w:val="0"/>
          <w:caps w:val="0"/>
          <w:color w:val="0C0C0C"/>
          <w:spacing w:val="0"/>
          <w:kern w:val="0"/>
          <w:sz w:val="28"/>
          <w:szCs w:val="28"/>
          <w:highlight w:val="none"/>
          <w:lang w:val="en-US" w:eastAsia="zh-CN" w:bidi="ar"/>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 w:hAnsi="仿宋" w:eastAsia="仿宋" w:cs="仿宋"/>
          <w:i w:val="0"/>
          <w:caps w:val="0"/>
          <w:color w:val="0C0C0C"/>
          <w:spacing w:val="0"/>
          <w:sz w:val="28"/>
          <w:szCs w:val="28"/>
          <w:highlight w:val="none"/>
        </w:rPr>
      </w:pPr>
      <w:r>
        <w:rPr>
          <w:rFonts w:hint="eastAsia" w:ascii="仿宋" w:hAnsi="仿宋" w:eastAsia="仿宋" w:cs="仿宋"/>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i w:val="0"/>
          <w:caps w:val="0"/>
          <w:color w:val="0C0C0C"/>
          <w:spacing w:val="0"/>
          <w:kern w:val="0"/>
          <w:sz w:val="28"/>
          <w:szCs w:val="28"/>
          <w:highlight w:val="none"/>
          <w:lang w:val="en-US" w:eastAsia="zh-CN" w:bidi="ar"/>
        </w:rPr>
      </w:pPr>
      <w:r>
        <w:rPr>
          <w:rFonts w:hint="eastAsia" w:ascii="仿宋" w:hAnsi="仿宋" w:eastAsia="仿宋" w:cs="仿宋"/>
          <w:i w:val="0"/>
          <w:caps w:val="0"/>
          <w:color w:val="0C0C0C"/>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仿宋" w:hAnsi="仿宋" w:eastAsia="仿宋" w:cs="仿宋"/>
          <w:i w:val="0"/>
          <w:caps w:val="0"/>
          <w:color w:val="0C0C0C"/>
          <w:spacing w:val="0"/>
          <w:kern w:val="0"/>
          <w:sz w:val="28"/>
          <w:szCs w:val="28"/>
          <w:highlight w:val="none"/>
          <w:lang w:val="en-US" w:eastAsia="zh-CN" w:bidi="ar"/>
        </w:rPr>
      </w:pPr>
      <w:r>
        <w:rPr>
          <w:rFonts w:hint="eastAsia" w:ascii="仿宋" w:hAnsi="仿宋" w:eastAsia="仿宋" w:cs="仿宋"/>
          <w:i w:val="0"/>
          <w:caps w:val="0"/>
          <w:color w:val="0C0C0C"/>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i w:val="0"/>
          <w:caps w:val="0"/>
          <w:color w:val="0C0C0C"/>
          <w:spacing w:val="0"/>
          <w:kern w:val="0"/>
          <w:sz w:val="28"/>
          <w:szCs w:val="28"/>
          <w:highlight w:val="none"/>
          <w:lang w:val="en-US" w:eastAsia="zh-CN" w:bidi="ar"/>
        </w:rPr>
      </w:pPr>
      <w:r>
        <w:rPr>
          <w:rFonts w:hint="eastAsia" w:ascii="仿宋" w:hAnsi="仿宋" w:eastAsia="仿宋" w:cs="仿宋"/>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F32E2"/>
    <w:rsid w:val="036E3B2D"/>
    <w:rsid w:val="10974D91"/>
    <w:rsid w:val="2F0F32E2"/>
    <w:rsid w:val="31386479"/>
    <w:rsid w:val="398855DE"/>
    <w:rsid w:val="607973B7"/>
    <w:rsid w:val="7C380AF2"/>
    <w:rsid w:val="7F5B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1395</Words>
  <Characters>1759</Characters>
  <Lines>0</Lines>
  <Paragraphs>0</Paragraphs>
  <TotalTime>0</TotalTime>
  <ScaleCrop>false</ScaleCrop>
  <LinksUpToDate>false</LinksUpToDate>
  <CharactersWithSpaces>1837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2025-06-02T15:54:00Z</dcterms:created>
  <dc:creator>不忘初心</dc:creator>
  <cp:lastModifiedBy>市统计局收发员</cp:lastModifiedBy>
  <dcterms:modified xsi:type="dcterms:W3CDTF">2025-07-24T03:24:04Z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78E4A7D7D2024014BAD79358D0741FDA_11</vt:lpwstr>
  </property>
  <property fmtid="{D5CDD505-2E9C-101B-9397-08002B2CF9AE}" pid="4" name="KSOTemplateDocerSaveRecord">
    <vt:lpwstr>eyJoZGlkIjoiN2I1M2VhZjk5MzU1YTA2YmI1ZmQ4YmJlMGY5NzQ2NjYiLCJ1c2VySWQiOiIyNjkyMTIzMDYifQ==</vt:lpwstr>
  </property>
</Properties>
</file>