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rPr>
          <w:rFonts w:ascii="宋体" w:hAnsi="宋体"/>
          <w:b/>
          <w:bCs/>
          <w:sz w:val="44"/>
          <w:szCs w:val="44"/>
        </w:rPr>
      </w:pPr>
    </w:p>
    <w:p>
      <w:pPr>
        <w:ind w:firstLine="883"/>
        <w:rPr>
          <w:rFonts w:ascii="宋体" w:hAnsi="宋体"/>
          <w:b/>
          <w:bCs/>
          <w:sz w:val="44"/>
          <w:szCs w:val="44"/>
        </w:rPr>
      </w:pPr>
    </w:p>
    <w:p>
      <w:pPr>
        <w:ind w:firstLine="883"/>
        <w:rPr>
          <w:rFonts w:ascii="宋体" w:hAnsi="宋体"/>
          <w:b/>
          <w:bCs/>
          <w:sz w:val="44"/>
          <w:szCs w:val="44"/>
        </w:rPr>
      </w:pPr>
    </w:p>
    <w:p>
      <w:pPr>
        <w:ind w:firstLine="0" w:firstLineChars="0"/>
        <w:jc w:val="center"/>
        <w:rPr>
          <w:rFonts w:ascii="黑体" w:hAnsi="黑体" w:eastAsia="黑体"/>
          <w:b/>
          <w:bCs/>
          <w:sz w:val="44"/>
          <w:szCs w:val="44"/>
        </w:rPr>
      </w:pPr>
      <w:bookmarkStart w:id="0" w:name="_Hlk141954409"/>
      <w:r>
        <w:rPr>
          <w:rFonts w:hint="eastAsia" w:ascii="黑体" w:hAnsi="黑体" w:eastAsia="黑体"/>
          <w:b/>
          <w:bCs/>
          <w:sz w:val="44"/>
          <w:szCs w:val="44"/>
        </w:rPr>
        <w:t>万宁市</w:t>
      </w:r>
      <w:r>
        <w:rPr>
          <w:rFonts w:ascii="黑体" w:hAnsi="黑体" w:eastAsia="黑体"/>
          <w:b/>
          <w:bCs/>
          <w:sz w:val="44"/>
          <w:szCs w:val="44"/>
        </w:rPr>
        <w:t>生态文明</w:t>
      </w:r>
      <w:r>
        <w:rPr>
          <w:rFonts w:hint="eastAsia" w:ascii="黑体" w:hAnsi="黑体" w:eastAsia="黑体"/>
          <w:b/>
          <w:bCs/>
          <w:sz w:val="44"/>
          <w:szCs w:val="44"/>
        </w:rPr>
        <w:t>建设</w:t>
      </w:r>
      <w:r>
        <w:rPr>
          <w:rFonts w:ascii="黑体" w:hAnsi="黑体" w:eastAsia="黑体"/>
          <w:b/>
          <w:bCs/>
          <w:sz w:val="44"/>
          <w:szCs w:val="44"/>
        </w:rPr>
        <w:t>示范</w:t>
      </w:r>
      <w:r>
        <w:rPr>
          <w:rFonts w:hint="eastAsia" w:ascii="黑体" w:hAnsi="黑体" w:eastAsia="黑体"/>
          <w:b/>
          <w:bCs/>
          <w:sz w:val="44"/>
          <w:szCs w:val="44"/>
        </w:rPr>
        <w:t>区</w:t>
      </w:r>
      <w:r>
        <w:rPr>
          <w:rFonts w:ascii="黑体" w:hAnsi="黑体" w:eastAsia="黑体"/>
          <w:b/>
          <w:bCs/>
          <w:sz w:val="44"/>
          <w:szCs w:val="44"/>
        </w:rPr>
        <w:t>规划</w:t>
      </w:r>
    </w:p>
    <w:p>
      <w:pPr>
        <w:ind w:firstLine="0" w:firstLineChars="0"/>
        <w:jc w:val="center"/>
        <w:rPr>
          <w:rFonts w:ascii="宋体" w:hAnsi="宋体"/>
          <w:b/>
          <w:bCs/>
          <w:sz w:val="36"/>
        </w:rPr>
      </w:pPr>
      <w:r>
        <w:rPr>
          <w:rFonts w:ascii="黑体" w:hAnsi="黑体" w:eastAsia="黑体"/>
          <w:b/>
          <w:bCs/>
          <w:sz w:val="32"/>
          <w:szCs w:val="22"/>
        </w:rPr>
        <w:t>（</w:t>
      </w:r>
      <w:r>
        <w:rPr>
          <w:rFonts w:ascii="黑体" w:hAnsi="黑体" w:eastAsia="黑体"/>
          <w:b/>
          <w:bCs/>
          <w:sz w:val="40"/>
          <w:szCs w:val="40"/>
        </w:rPr>
        <w:t>20</w:t>
      </w:r>
      <w:r>
        <w:rPr>
          <w:rFonts w:hint="eastAsia" w:ascii="黑体" w:hAnsi="黑体" w:eastAsia="黑体"/>
          <w:b/>
          <w:bCs/>
          <w:sz w:val="40"/>
          <w:szCs w:val="40"/>
        </w:rPr>
        <w:t>2</w:t>
      </w:r>
      <w:r>
        <w:rPr>
          <w:rFonts w:ascii="黑体" w:hAnsi="黑体" w:eastAsia="黑体"/>
          <w:b/>
          <w:bCs/>
          <w:sz w:val="40"/>
          <w:szCs w:val="40"/>
        </w:rPr>
        <w:t>3-2030</w:t>
      </w:r>
      <w:r>
        <w:rPr>
          <w:rFonts w:hint="eastAsia" w:ascii="黑体" w:hAnsi="黑体" w:eastAsia="黑体"/>
          <w:b/>
          <w:bCs/>
          <w:sz w:val="40"/>
          <w:szCs w:val="40"/>
        </w:rPr>
        <w:t>年</w:t>
      </w:r>
      <w:r>
        <w:rPr>
          <w:rFonts w:ascii="黑体" w:hAnsi="黑体" w:eastAsia="黑体"/>
          <w:b/>
          <w:bCs/>
          <w:sz w:val="32"/>
          <w:szCs w:val="22"/>
        </w:rPr>
        <w:t>）</w:t>
      </w:r>
    </w:p>
    <w:bookmarkEnd w:id="0"/>
    <w:p>
      <w:pPr>
        <w:ind w:firstLine="0" w:firstLineChars="0"/>
        <w:rPr>
          <w:rFonts w:ascii="宋体" w:hAnsi="宋体"/>
          <w:b/>
          <w:bCs/>
          <w:sz w:val="36"/>
        </w:rPr>
      </w:pPr>
    </w:p>
    <w:p>
      <w:pPr>
        <w:widowControl/>
        <w:ind w:firstLine="0" w:firstLineChars="0"/>
        <w:jc w:val="center"/>
        <w:rPr>
          <w:rFonts w:ascii="宋体" w:hAnsi="宋体" w:cs="宋体"/>
          <w:kern w:val="0"/>
          <w:sz w:val="24"/>
        </w:rPr>
      </w:pPr>
    </w:p>
    <w:p>
      <w:pPr>
        <w:widowControl/>
        <w:ind w:firstLine="0" w:firstLineChars="0"/>
        <w:jc w:val="center"/>
        <w:rPr>
          <w:rFonts w:ascii="宋体" w:hAnsi="宋体" w:cs="宋体"/>
          <w:kern w:val="0"/>
          <w:sz w:val="24"/>
        </w:rPr>
      </w:pPr>
    </w:p>
    <w:p>
      <w:pPr>
        <w:widowControl/>
        <w:ind w:firstLine="0" w:firstLineChars="0"/>
        <w:jc w:val="center"/>
        <w:rPr>
          <w:rFonts w:ascii="宋体" w:hAnsi="宋体" w:cs="宋体"/>
          <w:kern w:val="0"/>
          <w:sz w:val="24"/>
        </w:rPr>
      </w:pPr>
    </w:p>
    <w:p>
      <w:pPr>
        <w:widowControl/>
        <w:ind w:firstLine="0" w:firstLineChars="0"/>
        <w:jc w:val="center"/>
        <w:rPr>
          <w:rFonts w:ascii="宋体" w:hAnsi="宋体" w:cs="宋体"/>
          <w:kern w:val="0"/>
          <w:sz w:val="24"/>
        </w:rPr>
      </w:pPr>
    </w:p>
    <w:p>
      <w:pPr>
        <w:widowControl/>
        <w:ind w:firstLine="0" w:firstLineChars="0"/>
        <w:jc w:val="center"/>
        <w:rPr>
          <w:rFonts w:ascii="宋体" w:hAnsi="宋体" w:cs="宋体"/>
          <w:kern w:val="0"/>
          <w:sz w:val="24"/>
        </w:rPr>
      </w:pPr>
    </w:p>
    <w:p>
      <w:pPr>
        <w:widowControl/>
        <w:ind w:firstLine="0" w:firstLineChars="0"/>
        <w:jc w:val="center"/>
        <w:rPr>
          <w:rFonts w:ascii="宋体" w:hAnsi="宋体" w:cs="宋体"/>
          <w:kern w:val="0"/>
          <w:sz w:val="24"/>
        </w:rPr>
      </w:pPr>
    </w:p>
    <w:p>
      <w:pPr>
        <w:widowControl/>
        <w:ind w:firstLine="0" w:firstLineChars="0"/>
        <w:jc w:val="center"/>
        <w:rPr>
          <w:rFonts w:ascii="宋体" w:hAnsi="宋体" w:cs="宋体"/>
          <w:kern w:val="0"/>
          <w:sz w:val="24"/>
        </w:rPr>
      </w:pPr>
    </w:p>
    <w:p>
      <w:pPr>
        <w:widowControl/>
        <w:ind w:firstLine="0" w:firstLineChars="0"/>
        <w:jc w:val="center"/>
        <w:rPr>
          <w:rFonts w:ascii="宋体" w:hAnsi="宋体" w:cs="宋体"/>
          <w:kern w:val="0"/>
          <w:sz w:val="24"/>
        </w:rPr>
      </w:pPr>
    </w:p>
    <w:p>
      <w:pPr>
        <w:ind w:firstLine="0" w:firstLineChars="0"/>
        <w:rPr>
          <w:rFonts w:ascii="宋体" w:hAnsi="宋体"/>
          <w:sz w:val="36"/>
        </w:rPr>
      </w:pPr>
    </w:p>
    <w:p>
      <w:pPr>
        <w:ind w:firstLine="0" w:firstLineChars="0"/>
        <w:jc w:val="center"/>
        <w:rPr>
          <w:rFonts w:ascii="宋体" w:hAnsi="宋体"/>
          <w:b/>
          <w:bCs/>
          <w:sz w:val="32"/>
          <w:szCs w:val="32"/>
        </w:rPr>
      </w:pPr>
    </w:p>
    <w:p>
      <w:pPr>
        <w:ind w:firstLine="0" w:firstLineChars="0"/>
        <w:jc w:val="center"/>
        <w:rPr>
          <w:rFonts w:ascii="宋体" w:hAnsi="宋体"/>
          <w:b/>
          <w:bCs/>
          <w:sz w:val="32"/>
          <w:szCs w:val="32"/>
        </w:rPr>
      </w:pPr>
      <w:r>
        <w:rPr>
          <w:rFonts w:hint="eastAsia" w:ascii="宋体" w:hAnsi="宋体"/>
          <w:b/>
          <w:bCs/>
          <w:sz w:val="32"/>
          <w:szCs w:val="32"/>
        </w:rPr>
        <w:t>万宁市人民政府</w:t>
      </w:r>
    </w:p>
    <w:p>
      <w:pPr>
        <w:ind w:firstLine="0" w:firstLineChars="0"/>
        <w:jc w:val="center"/>
        <w:rPr>
          <w:rFonts w:ascii="宋体" w:hAnsi="宋体"/>
          <w:b/>
          <w:bCs/>
          <w:sz w:val="32"/>
          <w:szCs w:val="32"/>
        </w:rPr>
      </w:pPr>
      <w:r>
        <w:rPr>
          <w:rFonts w:hint="eastAsia" w:ascii="宋体" w:hAnsi="宋体"/>
          <w:b/>
          <w:bCs/>
          <w:sz w:val="32"/>
          <w:szCs w:val="32"/>
        </w:rPr>
        <w:t>二〇二三</w:t>
      </w:r>
      <w:r>
        <w:rPr>
          <w:rFonts w:ascii="宋体" w:hAnsi="宋体"/>
          <w:b/>
          <w:bCs/>
          <w:sz w:val="32"/>
          <w:szCs w:val="32"/>
        </w:rPr>
        <w:t>年</w:t>
      </w:r>
      <w:r>
        <w:rPr>
          <w:rFonts w:hint="eastAsia" w:ascii="宋体" w:hAnsi="宋体"/>
          <w:b/>
          <w:bCs/>
          <w:sz w:val="32"/>
          <w:szCs w:val="32"/>
        </w:rPr>
        <w:t>十</w:t>
      </w:r>
      <w:r>
        <w:rPr>
          <w:rFonts w:hint="eastAsia" w:ascii="宋体" w:hAnsi="宋体"/>
          <w:b/>
          <w:bCs/>
          <w:sz w:val="32"/>
          <w:szCs w:val="32"/>
          <w:lang w:eastAsia="zh-CN"/>
        </w:rPr>
        <w:t>二</w:t>
      </w:r>
      <w:r>
        <w:rPr>
          <w:rFonts w:ascii="宋体" w:hAnsi="宋体"/>
          <w:b/>
          <w:bCs/>
          <w:sz w:val="32"/>
          <w:szCs w:val="32"/>
        </w:rPr>
        <w:t>月</w:t>
      </w:r>
    </w:p>
    <w:p>
      <w:pPr>
        <w:ind w:firstLine="560"/>
      </w:pPr>
    </w:p>
    <w:p>
      <w:pPr>
        <w:ind w:firstLine="560"/>
      </w:pPr>
    </w:p>
    <w:p>
      <w:pPr>
        <w:widowControl/>
        <w:adjustRightInd/>
        <w:snapToGrid/>
        <w:spacing w:line="240" w:lineRule="auto"/>
        <w:ind w:firstLine="0" w:firstLineChars="0"/>
        <w:jc w:val="left"/>
      </w:pPr>
      <w:r>
        <w:br w:type="page"/>
      </w:r>
      <w:r>
        <w:br w:type="page"/>
      </w:r>
    </w:p>
    <w:p>
      <w:pPr>
        <w:widowControl/>
        <w:adjustRightInd/>
        <w:snapToGrid/>
        <w:spacing w:line="240" w:lineRule="auto"/>
        <w:ind w:firstLine="0" w:firstLineChars="0"/>
        <w:jc w:val="left"/>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81" w:charSpace="0"/>
        </w:sectPr>
      </w:pPr>
    </w:p>
    <w:sdt>
      <w:sdtPr>
        <w:rPr>
          <w:rFonts w:ascii="Times New Roman" w:hAnsi="Times New Roman" w:eastAsia="宋体" w:cs="Times New Roman"/>
          <w:color w:val="auto"/>
          <w:kern w:val="2"/>
          <w:sz w:val="28"/>
          <w:szCs w:val="24"/>
          <w:lang w:val="zh-CN"/>
        </w:rPr>
        <w:id w:val="397803664"/>
        <w:docPartObj>
          <w:docPartGallery w:val="Table of Contents"/>
          <w:docPartUnique/>
        </w:docPartObj>
      </w:sdtPr>
      <w:sdtEndPr>
        <w:rPr>
          <w:rFonts w:ascii="Times New Roman" w:hAnsi="Times New Roman" w:eastAsia="宋体" w:cs="Times New Roman"/>
          <w:b/>
          <w:bCs/>
          <w:color w:val="auto"/>
          <w:kern w:val="2"/>
          <w:sz w:val="24"/>
          <w:szCs w:val="24"/>
          <w:lang w:val="zh-CN"/>
        </w:rPr>
      </w:sdtEndPr>
      <w:sdtContent>
        <w:p>
          <w:pPr>
            <w:pStyle w:val="70"/>
            <w:ind w:firstLine="560"/>
            <w:jc w:val="center"/>
            <w:rPr>
              <w:rFonts w:ascii="Times New Roman" w:hAnsi="Times New Roman" w:cs="Times New Roman"/>
              <w:b/>
              <w:bCs/>
              <w:color w:val="auto"/>
            </w:rPr>
          </w:pPr>
          <w:r>
            <w:rPr>
              <w:rFonts w:ascii="Times New Roman" w:hAnsi="Times New Roman" w:cs="Times New Roman"/>
              <w:b/>
              <w:bCs/>
              <w:color w:val="auto"/>
              <w:lang w:val="zh-CN"/>
            </w:rPr>
            <w:t>目录</w:t>
          </w:r>
        </w:p>
        <w:p>
          <w:pPr>
            <w:pStyle w:val="17"/>
            <w:ind w:firstLine="0" w:firstLineChars="0"/>
            <w:rPr>
              <w:rFonts w:ascii="Times New Roman" w:hAnsi="Times New Roman" w:eastAsiaTheme="minorEastAsia"/>
              <w:sz w:val="24"/>
              <w14:ligatures w14:val="standardContextual"/>
            </w:rPr>
          </w:pPr>
          <w:r>
            <w:rPr>
              <w:rFonts w:ascii="Times New Roman" w:hAnsi="Times New Roman"/>
              <w:sz w:val="24"/>
            </w:rPr>
            <w:fldChar w:fldCharType="begin"/>
          </w:r>
          <w:r>
            <w:rPr>
              <w:rFonts w:ascii="Times New Roman" w:hAnsi="Times New Roman"/>
              <w:sz w:val="24"/>
            </w:rPr>
            <w:instrText xml:space="preserve"> TOC \o "1-3" \h \z \u </w:instrText>
          </w:r>
          <w:r>
            <w:rPr>
              <w:rFonts w:ascii="Times New Roman" w:hAnsi="Times New Roman"/>
              <w:sz w:val="24"/>
            </w:rPr>
            <w:fldChar w:fldCharType="separate"/>
          </w:r>
          <w:r>
            <w:fldChar w:fldCharType="begin"/>
          </w:r>
          <w:r>
            <w:instrText xml:space="preserve"> HYPERLINK \l "_Toc152148691" </w:instrText>
          </w:r>
          <w:r>
            <w:fldChar w:fldCharType="separate"/>
          </w:r>
          <w:r>
            <w:rPr>
              <w:rStyle w:val="32"/>
              <w:sz w:val="24"/>
            </w:rPr>
            <w:t>1. 工作基础与形势分析</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_Toc152148691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"_Toc152148692" </w:instrText>
          </w:r>
          <w:r>
            <w:fldChar w:fldCharType="separate"/>
          </w:r>
          <w:r>
            <w:rPr>
              <w:rStyle w:val="32"/>
              <w:sz w:val="24"/>
            </w:rPr>
            <w:t>1.1 建设基础</w:t>
          </w:r>
          <w:r>
            <w:rPr>
              <w:sz w:val="24"/>
            </w:rPr>
            <w:tab/>
          </w:r>
          <w:r>
            <w:rPr>
              <w:sz w:val="24"/>
            </w:rPr>
            <w:fldChar w:fldCharType="begin"/>
          </w:r>
          <w:r>
            <w:rPr>
              <w:sz w:val="24"/>
            </w:rPr>
            <w:instrText xml:space="preserve"> PAGEREF _Toc152148692 \h </w:instrText>
          </w:r>
          <w:r>
            <w:rPr>
              <w:sz w:val="24"/>
            </w:rPr>
            <w:fldChar w:fldCharType="separate"/>
          </w:r>
          <w:r>
            <w:rPr>
              <w:sz w:val="24"/>
            </w:rPr>
            <w:t>1</w:t>
          </w:r>
          <w:r>
            <w:rPr>
              <w:sz w:val="24"/>
            </w:rPr>
            <w:fldChar w:fldCharType="end"/>
          </w:r>
          <w:r>
            <w:rPr>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"_Toc152148693" </w:instrText>
          </w:r>
          <w:r>
            <w:fldChar w:fldCharType="separate"/>
          </w:r>
          <w:r>
            <w:rPr>
              <w:rStyle w:val="32"/>
              <w:sz w:val="24"/>
            </w:rPr>
            <w:t>1.1.1 区域特征</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_Toc152148693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"_Toc152148694" </w:instrText>
          </w:r>
          <w:r>
            <w:fldChar w:fldCharType="separate"/>
          </w:r>
          <w:r>
            <w:rPr>
              <w:rStyle w:val="32"/>
              <w:sz w:val="24"/>
            </w:rPr>
            <w:t>1.1.2 已有成效及现有工作基础</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_Toc152148694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"_Toc152148695" </w:instrText>
          </w:r>
          <w:r>
            <w:fldChar w:fldCharType="separate"/>
          </w:r>
          <w:r>
            <w:rPr>
              <w:rStyle w:val="32"/>
              <w:sz w:val="24"/>
            </w:rPr>
            <w:t>1.2 存在问题与机遇挑战</w:t>
          </w:r>
          <w:r>
            <w:rPr>
              <w:sz w:val="24"/>
            </w:rPr>
            <w:tab/>
          </w:r>
          <w:r>
            <w:rPr>
              <w:sz w:val="24"/>
            </w:rPr>
            <w:fldChar w:fldCharType="begin"/>
          </w:r>
          <w:r>
            <w:rPr>
              <w:sz w:val="24"/>
            </w:rPr>
            <w:instrText xml:space="preserve"> PAGEREF _Toc152148695 \h </w:instrText>
          </w:r>
          <w:r>
            <w:rPr>
              <w:sz w:val="24"/>
            </w:rPr>
            <w:fldChar w:fldCharType="separate"/>
          </w:r>
          <w:r>
            <w:rPr>
              <w:sz w:val="24"/>
            </w:rPr>
            <w:t>5</w:t>
          </w:r>
          <w:r>
            <w:rPr>
              <w:sz w:val="24"/>
            </w:rPr>
            <w:fldChar w:fldCharType="end"/>
          </w:r>
          <w:r>
            <w:rPr>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"_Toc152148696" </w:instrText>
          </w:r>
          <w:r>
            <w:fldChar w:fldCharType="separate"/>
          </w:r>
          <w:r>
            <w:rPr>
              <w:rStyle w:val="32"/>
              <w:sz w:val="24"/>
            </w:rPr>
            <w:t>1.2.1 存在问题</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_Toc152148696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"_Toc152148697" </w:instrText>
          </w:r>
          <w:r>
            <w:fldChar w:fldCharType="separate"/>
          </w:r>
          <w:r>
            <w:rPr>
              <w:rStyle w:val="32"/>
              <w:sz w:val="24"/>
            </w:rPr>
            <w:t>1.2.2 机遇与挑战</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_Toc152148697 \h </w:instrText>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r>
            <w:rPr>
              <w:rFonts w:ascii="Times New Roman" w:hAnsi="Times New Roman"/>
              <w:sz w:val="24"/>
            </w:rPr>
            <w:fldChar w:fldCharType="end"/>
          </w:r>
        </w:p>
        <w:p>
          <w:pPr>
            <w:pStyle w:val="17"/>
            <w:ind w:firstLine="0" w:firstLineChars="0"/>
            <w:rPr>
              <w:rFonts w:ascii="Times New Roman" w:hAnsi="Times New Roman" w:eastAsiaTheme="minorEastAsia"/>
              <w:sz w:val="24"/>
              <w14:ligatures w14:val="standardContextual"/>
            </w:rPr>
          </w:pPr>
          <w:r>
            <w:fldChar w:fldCharType="begin"/>
          </w:r>
          <w:r>
            <w:instrText xml:space="preserve"> HYPERLINK \l "_Toc152148698" </w:instrText>
          </w:r>
          <w:r>
            <w:fldChar w:fldCharType="separate"/>
          </w:r>
          <w:r>
            <w:rPr>
              <w:rStyle w:val="32"/>
              <w:sz w:val="24"/>
            </w:rPr>
            <w:t>2. 总则</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_Toc152148698 \h </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"_Toc152148699" </w:instrText>
          </w:r>
          <w:r>
            <w:fldChar w:fldCharType="separate"/>
          </w:r>
          <w:r>
            <w:rPr>
              <w:rStyle w:val="32"/>
              <w:sz w:val="24"/>
            </w:rPr>
            <w:t>2.1 指导思想</w:t>
          </w:r>
          <w:r>
            <w:rPr>
              <w:sz w:val="24"/>
            </w:rPr>
            <w:tab/>
          </w:r>
          <w:r>
            <w:rPr>
              <w:sz w:val="24"/>
            </w:rPr>
            <w:fldChar w:fldCharType="begin"/>
          </w:r>
          <w:r>
            <w:rPr>
              <w:sz w:val="24"/>
            </w:rPr>
            <w:instrText xml:space="preserve"> PAGEREF _Toc152148699 \h </w:instrText>
          </w:r>
          <w:r>
            <w:rPr>
              <w:sz w:val="24"/>
            </w:rPr>
            <w:fldChar w:fldCharType="separate"/>
          </w:r>
          <w:r>
            <w:rPr>
              <w:sz w:val="24"/>
            </w:rPr>
            <w:t>10</w:t>
          </w:r>
          <w:r>
            <w:rPr>
              <w:sz w:val="24"/>
            </w:rPr>
            <w:fldChar w:fldCharType="end"/>
          </w:r>
          <w:r>
            <w:rPr>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"_Toc152148700" </w:instrText>
          </w:r>
          <w:r>
            <w:fldChar w:fldCharType="separate"/>
          </w:r>
          <w:r>
            <w:rPr>
              <w:rStyle w:val="32"/>
              <w:sz w:val="24"/>
            </w:rPr>
            <w:t>2.2 规划原则</w:t>
          </w:r>
          <w:r>
            <w:rPr>
              <w:sz w:val="24"/>
            </w:rPr>
            <w:tab/>
          </w:r>
          <w:r>
            <w:rPr>
              <w:sz w:val="24"/>
            </w:rPr>
            <w:fldChar w:fldCharType="begin"/>
          </w:r>
          <w:r>
            <w:rPr>
              <w:sz w:val="24"/>
            </w:rPr>
            <w:instrText xml:space="preserve"> PAGEREF _Toc152148700 \h </w:instrText>
          </w:r>
          <w:r>
            <w:rPr>
              <w:sz w:val="24"/>
            </w:rPr>
            <w:fldChar w:fldCharType="separate"/>
          </w:r>
          <w:r>
            <w:rPr>
              <w:sz w:val="24"/>
            </w:rPr>
            <w:t>10</w:t>
          </w:r>
          <w:r>
            <w:rPr>
              <w:sz w:val="24"/>
            </w:rPr>
            <w:fldChar w:fldCharType="end"/>
          </w:r>
          <w:r>
            <w:rPr>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"_Toc152148701" </w:instrText>
          </w:r>
          <w:r>
            <w:fldChar w:fldCharType="separate"/>
          </w:r>
          <w:r>
            <w:rPr>
              <w:rStyle w:val="32"/>
              <w:sz w:val="24"/>
            </w:rPr>
            <w:t>2.3 编制依据</w:t>
          </w:r>
          <w:r>
            <w:rPr>
              <w:sz w:val="24"/>
            </w:rPr>
            <w:tab/>
          </w:r>
          <w:r>
            <w:rPr>
              <w:sz w:val="24"/>
            </w:rPr>
            <w:fldChar w:fldCharType="begin"/>
          </w:r>
          <w:r>
            <w:rPr>
              <w:sz w:val="24"/>
            </w:rPr>
            <w:instrText xml:space="preserve"> PAGEREF _Toc152148701 \h </w:instrText>
          </w:r>
          <w:r>
            <w:rPr>
              <w:sz w:val="24"/>
            </w:rPr>
            <w:fldChar w:fldCharType="separate"/>
          </w:r>
          <w:r>
            <w:rPr>
              <w:sz w:val="24"/>
            </w:rPr>
            <w:t>11</w:t>
          </w:r>
          <w:r>
            <w:rPr>
              <w:sz w:val="24"/>
            </w:rPr>
            <w:fldChar w:fldCharType="end"/>
          </w:r>
          <w:r>
            <w:rPr>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"_Toc152148702" </w:instrText>
          </w:r>
          <w:r>
            <w:fldChar w:fldCharType="separate"/>
          </w:r>
          <w:r>
            <w:rPr>
              <w:rStyle w:val="32"/>
              <w:sz w:val="24"/>
            </w:rPr>
            <w:t>2.4 规划范围</w:t>
          </w:r>
          <w:r>
            <w:rPr>
              <w:sz w:val="24"/>
            </w:rPr>
            <w:tab/>
          </w:r>
          <w:r>
            <w:rPr>
              <w:sz w:val="24"/>
            </w:rPr>
            <w:fldChar w:fldCharType="begin"/>
          </w:r>
          <w:r>
            <w:rPr>
              <w:sz w:val="24"/>
            </w:rPr>
            <w:instrText xml:space="preserve"> PAGEREF _Toc152148702 \h </w:instrText>
          </w:r>
          <w:r>
            <w:rPr>
              <w:sz w:val="24"/>
            </w:rPr>
            <w:fldChar w:fldCharType="separate"/>
          </w:r>
          <w:r>
            <w:rPr>
              <w:sz w:val="24"/>
            </w:rPr>
            <w:t>13</w:t>
          </w:r>
          <w:r>
            <w:rPr>
              <w:sz w:val="24"/>
            </w:rPr>
            <w:fldChar w:fldCharType="end"/>
          </w:r>
          <w:r>
            <w:rPr>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"_Toc152148703" </w:instrText>
          </w:r>
          <w:r>
            <w:fldChar w:fldCharType="separate"/>
          </w:r>
          <w:r>
            <w:rPr>
              <w:rStyle w:val="32"/>
              <w:sz w:val="24"/>
            </w:rPr>
            <w:t>2.5 规划期限</w:t>
          </w:r>
          <w:r>
            <w:rPr>
              <w:sz w:val="24"/>
            </w:rPr>
            <w:tab/>
          </w:r>
          <w:r>
            <w:rPr>
              <w:sz w:val="24"/>
            </w:rPr>
            <w:fldChar w:fldCharType="begin"/>
          </w:r>
          <w:r>
            <w:rPr>
              <w:sz w:val="24"/>
            </w:rPr>
            <w:instrText xml:space="preserve"> PAGEREF _Toc152148703 \h </w:instrText>
          </w:r>
          <w:r>
            <w:rPr>
              <w:sz w:val="24"/>
            </w:rPr>
            <w:fldChar w:fldCharType="separate"/>
          </w:r>
          <w:r>
            <w:rPr>
              <w:sz w:val="24"/>
            </w:rPr>
            <w:t>13</w:t>
          </w:r>
          <w:r>
            <w:rPr>
              <w:sz w:val="24"/>
            </w:rPr>
            <w:fldChar w:fldCharType="end"/>
          </w:r>
          <w:r>
            <w:rPr>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"_Toc152148704" </w:instrText>
          </w:r>
          <w:r>
            <w:fldChar w:fldCharType="separate"/>
          </w:r>
          <w:r>
            <w:rPr>
              <w:rStyle w:val="32"/>
              <w:sz w:val="24"/>
            </w:rPr>
            <w:t>2.6 规划目标</w:t>
          </w:r>
          <w:r>
            <w:rPr>
              <w:sz w:val="24"/>
            </w:rPr>
            <w:tab/>
          </w:r>
          <w:r>
            <w:rPr>
              <w:sz w:val="24"/>
            </w:rPr>
            <w:fldChar w:fldCharType="begin"/>
          </w:r>
          <w:r>
            <w:rPr>
              <w:sz w:val="24"/>
            </w:rPr>
            <w:instrText xml:space="preserve"> PAGEREF _Toc152148704 \h </w:instrText>
          </w:r>
          <w:r>
            <w:rPr>
              <w:sz w:val="24"/>
            </w:rPr>
            <w:fldChar w:fldCharType="separate"/>
          </w:r>
          <w:r>
            <w:rPr>
              <w:sz w:val="24"/>
            </w:rPr>
            <w:t>13</w:t>
          </w:r>
          <w:r>
            <w:rPr>
              <w:sz w:val="24"/>
            </w:rPr>
            <w:fldChar w:fldCharType="end"/>
          </w:r>
          <w:r>
            <w:rPr>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"_Toc152148705" </w:instrText>
          </w:r>
          <w:r>
            <w:fldChar w:fldCharType="separate"/>
          </w:r>
          <w:r>
            <w:rPr>
              <w:rStyle w:val="32"/>
              <w:sz w:val="24"/>
            </w:rPr>
            <w:t>2.7 建设指标</w:t>
          </w:r>
          <w:r>
            <w:rPr>
              <w:sz w:val="24"/>
            </w:rPr>
            <w:tab/>
          </w:r>
          <w:r>
            <w:rPr>
              <w:sz w:val="24"/>
            </w:rPr>
            <w:fldChar w:fldCharType="begin"/>
          </w:r>
          <w:r>
            <w:rPr>
              <w:sz w:val="24"/>
            </w:rPr>
            <w:instrText xml:space="preserve"> PAGEREF _Toc152148705 \h </w:instrText>
          </w:r>
          <w:r>
            <w:rPr>
              <w:sz w:val="24"/>
            </w:rPr>
            <w:fldChar w:fldCharType="separate"/>
          </w:r>
          <w:r>
            <w:rPr>
              <w:sz w:val="24"/>
            </w:rPr>
            <w:t>15</w:t>
          </w:r>
          <w:r>
            <w:rPr>
              <w:sz w:val="24"/>
            </w:rPr>
            <w:fldChar w:fldCharType="end"/>
          </w:r>
          <w:r>
            <w:rPr>
              <w:sz w:val="24"/>
            </w:rPr>
            <w:fldChar w:fldCharType="end"/>
          </w:r>
        </w:p>
        <w:p>
          <w:pPr>
            <w:pStyle w:val="17"/>
            <w:ind w:firstLine="0" w:firstLineChars="0"/>
            <w:rPr>
              <w:rFonts w:ascii="Times New Roman" w:hAnsi="Times New Roman" w:eastAsiaTheme="minorEastAsia"/>
              <w:sz w:val="24"/>
              <w14:ligatures w14:val="standardContextual"/>
            </w:rPr>
          </w:pPr>
          <w:r>
            <w:fldChar w:fldCharType="begin"/>
          </w:r>
          <w:r>
            <w:instrText xml:space="preserve"> HYPERLINK \l "_Toc152148706" </w:instrText>
          </w:r>
          <w:r>
            <w:fldChar w:fldCharType="separate"/>
          </w:r>
          <w:r>
            <w:rPr>
              <w:rStyle w:val="32"/>
              <w:sz w:val="24"/>
            </w:rPr>
            <w:t>3. 规划任务与措施</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_Toc152148706 \h </w:instrText>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"_Toc152148707" </w:instrText>
          </w:r>
          <w:r>
            <w:fldChar w:fldCharType="separate"/>
          </w:r>
          <w:r>
            <w:rPr>
              <w:rStyle w:val="32"/>
              <w:sz w:val="24"/>
            </w:rPr>
            <w:t>3.1 完善生态文明制度，健全现代治理体系</w:t>
          </w:r>
          <w:r>
            <w:rPr>
              <w:sz w:val="24"/>
            </w:rPr>
            <w:tab/>
          </w:r>
          <w:r>
            <w:rPr>
              <w:sz w:val="24"/>
            </w:rPr>
            <w:fldChar w:fldCharType="begin"/>
          </w:r>
          <w:r>
            <w:rPr>
              <w:sz w:val="24"/>
            </w:rPr>
            <w:instrText xml:space="preserve"> PAGEREF _Toc152148707 \h </w:instrText>
          </w:r>
          <w:r>
            <w:rPr>
              <w:sz w:val="24"/>
            </w:rPr>
            <w:fldChar w:fldCharType="separate"/>
          </w:r>
          <w:r>
            <w:rPr>
              <w:sz w:val="24"/>
            </w:rPr>
            <w:t>23</w:t>
          </w:r>
          <w:r>
            <w:rPr>
              <w:sz w:val="24"/>
            </w:rPr>
            <w:fldChar w:fldCharType="end"/>
          </w:r>
          <w:r>
            <w:rPr>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"_Toc152148708" </w:instrText>
          </w:r>
          <w:r>
            <w:fldChar w:fldCharType="separate"/>
          </w:r>
          <w:r>
            <w:rPr>
              <w:rStyle w:val="32"/>
              <w:sz w:val="24"/>
            </w:rPr>
            <w:t>3.1.1 坚持改革创新，重塑现代化治理体系</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_Toc152148708 \h </w:instrText>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"_Toc152148709" </w:instrText>
          </w:r>
          <w:r>
            <w:fldChar w:fldCharType="separate"/>
          </w:r>
          <w:r>
            <w:rPr>
              <w:rStyle w:val="32"/>
              <w:sz w:val="24"/>
            </w:rPr>
            <w:t>3.1.2 坚持绿色导向，探索推进生态产品价值实现</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_Toc152148709 \h </w:instrText>
          </w:r>
          <w:r>
            <w:rPr>
              <w:rFonts w:ascii="Times New Roman" w:hAnsi="Times New Roman"/>
              <w:sz w:val="24"/>
            </w:rPr>
            <w:fldChar w:fldCharType="separate"/>
          </w:r>
          <w:r>
            <w:rPr>
              <w:rFonts w:ascii="Times New Roman" w:hAnsi="Times New Roman"/>
              <w:sz w:val="24"/>
            </w:rPr>
            <w:t>24</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"_Toc152148710" </w:instrText>
          </w:r>
          <w:r>
            <w:fldChar w:fldCharType="separate"/>
          </w:r>
          <w:r>
            <w:rPr>
              <w:rStyle w:val="32"/>
              <w:sz w:val="24"/>
            </w:rPr>
            <w:t>3.1.3 坚持多元共治，深化协同治理助力绿色共富</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_Toc152148710 \h </w:instrText>
          </w:r>
          <w:r>
            <w:rPr>
              <w:rFonts w:ascii="Times New Roman" w:hAnsi="Times New Roman"/>
              <w:sz w:val="24"/>
            </w:rPr>
            <w:fldChar w:fldCharType="separate"/>
          </w:r>
          <w:r>
            <w:rPr>
              <w:rFonts w:ascii="Times New Roman" w:hAnsi="Times New Roman"/>
              <w:sz w:val="24"/>
            </w:rPr>
            <w:t>25</w:t>
          </w:r>
          <w:r>
            <w:rPr>
              <w:rFonts w:ascii="Times New Roman" w:hAnsi="Times New Roman"/>
              <w:sz w:val="24"/>
            </w:rPr>
            <w:fldChar w:fldCharType="end"/>
          </w:r>
          <w:r>
            <w:rPr>
              <w:rFonts w:ascii="Times New Roman" w:hAnsi="Times New Roman"/>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"_Toc152148711" </w:instrText>
          </w:r>
          <w:r>
            <w:fldChar w:fldCharType="separate"/>
          </w:r>
          <w:r>
            <w:rPr>
              <w:rStyle w:val="32"/>
              <w:sz w:val="24"/>
            </w:rPr>
            <w:t>3.2 保障生态安全，守护美丽万宁</w:t>
          </w:r>
          <w:r>
            <w:rPr>
              <w:sz w:val="24"/>
            </w:rPr>
            <w:tab/>
          </w:r>
          <w:r>
            <w:rPr>
              <w:sz w:val="24"/>
            </w:rPr>
            <w:fldChar w:fldCharType="begin"/>
          </w:r>
          <w:r>
            <w:rPr>
              <w:sz w:val="24"/>
            </w:rPr>
            <w:instrText xml:space="preserve"> PAGEREF _Toc152148711 \h </w:instrText>
          </w:r>
          <w:r>
            <w:rPr>
              <w:sz w:val="24"/>
            </w:rPr>
            <w:fldChar w:fldCharType="separate"/>
          </w:r>
          <w:r>
            <w:rPr>
              <w:sz w:val="24"/>
            </w:rPr>
            <w:t>28</w:t>
          </w:r>
          <w:r>
            <w:rPr>
              <w:sz w:val="24"/>
            </w:rPr>
            <w:fldChar w:fldCharType="end"/>
          </w:r>
          <w:r>
            <w:rPr>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"_Toc152148712" </w:instrText>
          </w:r>
          <w:r>
            <w:fldChar w:fldCharType="separate"/>
          </w:r>
          <w:r>
            <w:rPr>
              <w:rStyle w:val="32"/>
              <w:sz w:val="24"/>
            </w:rPr>
            <w:t>3.2.1 坚持减污降碳，积极应对气候变化</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_Toc152148712 \h </w:instrText>
          </w:r>
          <w:r>
            <w:rPr>
              <w:rFonts w:ascii="Times New Roman" w:hAnsi="Times New Roman"/>
              <w:sz w:val="24"/>
            </w:rPr>
            <w:fldChar w:fldCharType="separate"/>
          </w:r>
          <w:r>
            <w:rPr>
              <w:rFonts w:ascii="Times New Roman" w:hAnsi="Times New Roman"/>
              <w:sz w:val="24"/>
            </w:rPr>
            <w:t>28</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"_Toc152148713" </w:instrText>
          </w:r>
          <w:r>
            <w:fldChar w:fldCharType="separate"/>
          </w:r>
          <w:r>
            <w:rPr>
              <w:rStyle w:val="32"/>
              <w:sz w:val="24"/>
            </w:rPr>
            <w:t>3.2.2 坚持三水统筹，打好碧水保卫战</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_Toc152148713 \h </w:instrText>
          </w:r>
          <w:r>
            <w:rPr>
              <w:rFonts w:ascii="Times New Roman" w:hAnsi="Times New Roman"/>
              <w:sz w:val="24"/>
            </w:rPr>
            <w:fldChar w:fldCharType="separate"/>
          </w:r>
          <w:r>
            <w:rPr>
              <w:rFonts w:ascii="Times New Roman" w:hAnsi="Times New Roman"/>
              <w:sz w:val="24"/>
            </w:rPr>
            <w:t>30</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"_Toc152148714" </w:instrText>
          </w:r>
          <w:r>
            <w:fldChar w:fldCharType="separate"/>
          </w:r>
          <w:r>
            <w:rPr>
              <w:rStyle w:val="32"/>
              <w:sz w:val="24"/>
            </w:rPr>
            <w:t>3.2.3 坚持协同治理，强化大气污染防治</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_Toc152148714 \h </w:instrText>
          </w:r>
          <w:r>
            <w:rPr>
              <w:rFonts w:ascii="Times New Roman" w:hAnsi="Times New Roman"/>
              <w:sz w:val="24"/>
            </w:rPr>
            <w:fldChar w:fldCharType="separate"/>
          </w:r>
          <w:r>
            <w:rPr>
              <w:rFonts w:ascii="Times New Roman" w:hAnsi="Times New Roman"/>
              <w:sz w:val="24"/>
            </w:rPr>
            <w:t>33</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"_Toc152148715" </w:instrText>
          </w:r>
          <w:r>
            <w:fldChar w:fldCharType="separate"/>
          </w:r>
          <w:r>
            <w:rPr>
              <w:rStyle w:val="32"/>
              <w:sz w:val="24"/>
            </w:rPr>
            <w:t>3.2.4 坚持源头管控，开展土壤污染防治</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_Toc152148715 \h </w:instrText>
          </w:r>
          <w:r>
            <w:rPr>
              <w:rFonts w:ascii="Times New Roman" w:hAnsi="Times New Roman"/>
              <w:sz w:val="24"/>
            </w:rPr>
            <w:fldChar w:fldCharType="separate"/>
          </w:r>
          <w:r>
            <w:rPr>
              <w:rFonts w:ascii="Times New Roman" w:hAnsi="Times New Roman"/>
              <w:sz w:val="24"/>
            </w:rPr>
            <w:t>35</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"_Toc152148716" </w:instrText>
          </w:r>
          <w:r>
            <w:fldChar w:fldCharType="separate"/>
          </w:r>
          <w:r>
            <w:rPr>
              <w:rStyle w:val="32"/>
              <w:sz w:val="24"/>
              <w:shd w:val="clear" w:color="auto" w:fill="FFFFFF"/>
            </w:rPr>
            <w:t>3.2.5 坚持“三化”原则，打造“无废万宁”样板</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_Toc152148716 \h </w:instrText>
          </w:r>
          <w:r>
            <w:rPr>
              <w:rFonts w:ascii="Times New Roman" w:hAnsi="Times New Roman"/>
              <w:sz w:val="24"/>
            </w:rPr>
            <w:fldChar w:fldCharType="separate"/>
          </w:r>
          <w:r>
            <w:rPr>
              <w:rFonts w:ascii="Times New Roman" w:hAnsi="Times New Roman"/>
              <w:sz w:val="24"/>
            </w:rPr>
            <w:t>36</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"_Toc152148717" </w:instrText>
          </w:r>
          <w:r>
            <w:fldChar w:fldCharType="separate"/>
          </w:r>
          <w:r>
            <w:rPr>
              <w:rStyle w:val="32"/>
              <w:sz w:val="24"/>
            </w:rPr>
            <w:t>3.2.6 坚持陆海统筹，推进海洋环境保护</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_Toc152148717 \h </w:instrText>
          </w:r>
          <w:r>
            <w:rPr>
              <w:rFonts w:ascii="Times New Roman" w:hAnsi="Times New Roman"/>
              <w:sz w:val="24"/>
            </w:rPr>
            <w:fldChar w:fldCharType="separate"/>
          </w:r>
          <w:r>
            <w:rPr>
              <w:rFonts w:ascii="Times New Roman" w:hAnsi="Times New Roman"/>
              <w:sz w:val="24"/>
            </w:rPr>
            <w:t>37</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"_Toc152148718" </w:instrText>
          </w:r>
          <w:r>
            <w:fldChar w:fldCharType="separate"/>
          </w:r>
          <w:r>
            <w:rPr>
              <w:rStyle w:val="32"/>
              <w:sz w:val="24"/>
            </w:rPr>
            <w:t>3.2.7 坚持保护优先，筑牢生态安全格局</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_Toc152148718 \h </w:instrText>
          </w:r>
          <w:r>
            <w:rPr>
              <w:rFonts w:ascii="Times New Roman" w:hAnsi="Times New Roman"/>
              <w:sz w:val="24"/>
            </w:rPr>
            <w:fldChar w:fldCharType="separate"/>
          </w:r>
          <w:r>
            <w:rPr>
              <w:rFonts w:ascii="Times New Roman" w:hAnsi="Times New Roman"/>
              <w:sz w:val="24"/>
            </w:rPr>
            <w:t>40</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"_Toc152148719" </w:instrText>
          </w:r>
          <w:r>
            <w:fldChar w:fldCharType="separate"/>
          </w:r>
          <w:r>
            <w:rPr>
              <w:rStyle w:val="32"/>
              <w:sz w:val="24"/>
            </w:rPr>
            <w:t>3.2.8 坚持风险防控，守牢生态安全底线</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_Toc152148719 \h </w:instrText>
          </w:r>
          <w:r>
            <w:rPr>
              <w:rFonts w:ascii="Times New Roman" w:hAnsi="Times New Roman"/>
              <w:sz w:val="24"/>
            </w:rPr>
            <w:fldChar w:fldCharType="separate"/>
          </w:r>
          <w:r>
            <w:rPr>
              <w:rFonts w:ascii="Times New Roman" w:hAnsi="Times New Roman"/>
              <w:sz w:val="24"/>
            </w:rPr>
            <w:t>42</w:t>
          </w:r>
          <w:r>
            <w:rPr>
              <w:rFonts w:ascii="Times New Roman" w:hAnsi="Times New Roman"/>
              <w:sz w:val="24"/>
            </w:rPr>
            <w:fldChar w:fldCharType="end"/>
          </w:r>
          <w:r>
            <w:rPr>
              <w:rFonts w:ascii="Times New Roman" w:hAnsi="Times New Roman"/>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"_Toc152148720" </w:instrText>
          </w:r>
          <w:r>
            <w:fldChar w:fldCharType="separate"/>
          </w:r>
          <w:r>
            <w:rPr>
              <w:rStyle w:val="32"/>
              <w:sz w:val="24"/>
            </w:rPr>
            <w:t>3.3 优化生态空间，建设绿色万宁</w:t>
          </w:r>
          <w:r>
            <w:rPr>
              <w:sz w:val="24"/>
            </w:rPr>
            <w:tab/>
          </w:r>
          <w:r>
            <w:rPr>
              <w:sz w:val="24"/>
            </w:rPr>
            <w:fldChar w:fldCharType="begin"/>
          </w:r>
          <w:r>
            <w:rPr>
              <w:sz w:val="24"/>
            </w:rPr>
            <w:instrText xml:space="preserve"> PAGEREF _Toc152148720 \h </w:instrText>
          </w:r>
          <w:r>
            <w:rPr>
              <w:sz w:val="24"/>
            </w:rPr>
            <w:fldChar w:fldCharType="separate"/>
          </w:r>
          <w:r>
            <w:rPr>
              <w:sz w:val="24"/>
            </w:rPr>
            <w:t>45</w:t>
          </w:r>
          <w:r>
            <w:rPr>
              <w:sz w:val="24"/>
            </w:rPr>
            <w:fldChar w:fldCharType="end"/>
          </w:r>
          <w:r>
            <w:rPr>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"_Toc152148721" </w:instrText>
          </w:r>
          <w:r>
            <w:fldChar w:fldCharType="separate"/>
          </w:r>
          <w:r>
            <w:rPr>
              <w:rStyle w:val="32"/>
              <w:sz w:val="24"/>
            </w:rPr>
            <w:t>3.3.1 生态网络格局</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_Toc152148721 \h </w:instrText>
          </w:r>
          <w:r>
            <w:rPr>
              <w:rFonts w:ascii="Times New Roman" w:hAnsi="Times New Roman"/>
              <w:sz w:val="24"/>
            </w:rPr>
            <w:fldChar w:fldCharType="separate"/>
          </w:r>
          <w:r>
            <w:rPr>
              <w:rFonts w:ascii="Times New Roman" w:hAnsi="Times New Roman"/>
              <w:sz w:val="24"/>
            </w:rPr>
            <w:t>45</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"_Toc152148722" </w:instrText>
          </w:r>
          <w:r>
            <w:fldChar w:fldCharType="separate"/>
          </w:r>
          <w:r>
            <w:rPr>
              <w:rStyle w:val="32"/>
              <w:sz w:val="24"/>
            </w:rPr>
            <w:t>3.3.2 生态空间用途管制</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_Toc152148722 \h </w:instrText>
          </w:r>
          <w:r>
            <w:rPr>
              <w:rFonts w:ascii="Times New Roman" w:hAnsi="Times New Roman"/>
              <w:sz w:val="24"/>
            </w:rPr>
            <w:fldChar w:fldCharType="separate"/>
          </w:r>
          <w:r>
            <w:rPr>
              <w:rFonts w:ascii="Times New Roman" w:hAnsi="Times New Roman"/>
              <w:sz w:val="24"/>
            </w:rPr>
            <w:t>45</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"_Toc152148723" </w:instrText>
          </w:r>
          <w:r>
            <w:fldChar w:fldCharType="separate"/>
          </w:r>
          <w:r>
            <w:rPr>
              <w:rStyle w:val="32"/>
              <w:sz w:val="24"/>
            </w:rPr>
            <w:t>3.3.3 优化资源保护与利用</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_Toc152148723 \h </w:instrText>
          </w:r>
          <w:r>
            <w:rPr>
              <w:rFonts w:ascii="Times New Roman" w:hAnsi="Times New Roman"/>
              <w:sz w:val="24"/>
            </w:rPr>
            <w:fldChar w:fldCharType="separate"/>
          </w:r>
          <w:r>
            <w:rPr>
              <w:rFonts w:ascii="Times New Roman" w:hAnsi="Times New Roman"/>
              <w:sz w:val="24"/>
            </w:rPr>
            <w:t>47</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"_Toc152148724" </w:instrText>
          </w:r>
          <w:r>
            <w:fldChar w:fldCharType="separate"/>
          </w:r>
          <w:r>
            <w:rPr>
              <w:rStyle w:val="32"/>
              <w:sz w:val="24"/>
            </w:rPr>
            <w:t>3.3.4 构建区域协调发展国土空间新格局</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_Toc152148724 \h </w:instrText>
          </w:r>
          <w:r>
            <w:rPr>
              <w:rFonts w:ascii="Times New Roman" w:hAnsi="Times New Roman"/>
              <w:sz w:val="24"/>
            </w:rPr>
            <w:fldChar w:fldCharType="separate"/>
          </w:r>
          <w:r>
            <w:rPr>
              <w:rFonts w:ascii="Times New Roman" w:hAnsi="Times New Roman"/>
              <w:sz w:val="24"/>
            </w:rPr>
            <w:t>48</w:t>
          </w:r>
          <w:r>
            <w:rPr>
              <w:rFonts w:ascii="Times New Roman" w:hAnsi="Times New Roman"/>
              <w:sz w:val="24"/>
            </w:rPr>
            <w:fldChar w:fldCharType="end"/>
          </w:r>
          <w:r>
            <w:rPr>
              <w:rFonts w:ascii="Times New Roman" w:hAnsi="Times New Roman"/>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"_Toc152148725" </w:instrText>
          </w:r>
          <w:r>
            <w:fldChar w:fldCharType="separate"/>
          </w:r>
          <w:r>
            <w:rPr>
              <w:rStyle w:val="32"/>
              <w:sz w:val="24"/>
            </w:rPr>
            <w:t>3.4 立足国际自贸港，推进经济绿色转型</w:t>
          </w:r>
          <w:r>
            <w:rPr>
              <w:sz w:val="24"/>
            </w:rPr>
            <w:tab/>
          </w:r>
          <w:r>
            <w:rPr>
              <w:sz w:val="24"/>
            </w:rPr>
            <w:fldChar w:fldCharType="begin"/>
          </w:r>
          <w:r>
            <w:rPr>
              <w:sz w:val="24"/>
            </w:rPr>
            <w:instrText xml:space="preserve"> PAGEREF _Toc152148725 \h </w:instrText>
          </w:r>
          <w:r>
            <w:rPr>
              <w:sz w:val="24"/>
            </w:rPr>
            <w:fldChar w:fldCharType="separate"/>
          </w:r>
          <w:r>
            <w:rPr>
              <w:sz w:val="24"/>
            </w:rPr>
            <w:t>50</w:t>
          </w:r>
          <w:r>
            <w:rPr>
              <w:sz w:val="24"/>
            </w:rPr>
            <w:fldChar w:fldCharType="end"/>
          </w:r>
          <w:r>
            <w:rPr>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"_Toc152148726" </w:instrText>
          </w:r>
          <w:r>
            <w:fldChar w:fldCharType="separate"/>
          </w:r>
          <w:r>
            <w:rPr>
              <w:rStyle w:val="32"/>
              <w:sz w:val="24"/>
            </w:rPr>
            <w:t>3.4.1 构建自贸港特色生态产业布局</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_Toc152148726 \h </w:instrText>
          </w:r>
          <w:r>
            <w:rPr>
              <w:rFonts w:ascii="Times New Roman" w:hAnsi="Times New Roman"/>
              <w:sz w:val="24"/>
            </w:rPr>
            <w:fldChar w:fldCharType="separate"/>
          </w:r>
          <w:r>
            <w:rPr>
              <w:rFonts w:ascii="Times New Roman" w:hAnsi="Times New Roman"/>
              <w:sz w:val="24"/>
            </w:rPr>
            <w:t>50</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"_Toc152148727" </w:instrText>
          </w:r>
          <w:r>
            <w:fldChar w:fldCharType="separate"/>
          </w:r>
          <w:r>
            <w:rPr>
              <w:rStyle w:val="32"/>
              <w:sz w:val="24"/>
            </w:rPr>
            <w:t>3.4.2 调整主产业结构，优化多产业体系</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_Toc152148727 \h </w:instrText>
          </w:r>
          <w:r>
            <w:rPr>
              <w:rFonts w:ascii="Times New Roman" w:hAnsi="Times New Roman"/>
              <w:sz w:val="24"/>
            </w:rPr>
            <w:fldChar w:fldCharType="separate"/>
          </w:r>
          <w:r>
            <w:rPr>
              <w:rFonts w:ascii="Times New Roman" w:hAnsi="Times New Roman"/>
              <w:sz w:val="24"/>
            </w:rPr>
            <w:t>50</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"_Toc152148728" </w:instrText>
          </w:r>
          <w:r>
            <w:fldChar w:fldCharType="separate"/>
          </w:r>
          <w:r>
            <w:rPr>
              <w:rStyle w:val="32"/>
              <w:sz w:val="24"/>
            </w:rPr>
            <w:t>3.4.3 推动能源消费绿色低碳转型</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_Toc152148728 \h </w:instrText>
          </w:r>
          <w:r>
            <w:rPr>
              <w:rFonts w:ascii="Times New Roman" w:hAnsi="Times New Roman"/>
              <w:sz w:val="24"/>
            </w:rPr>
            <w:fldChar w:fldCharType="separate"/>
          </w:r>
          <w:r>
            <w:rPr>
              <w:rFonts w:ascii="Times New Roman" w:hAnsi="Times New Roman"/>
              <w:sz w:val="24"/>
            </w:rPr>
            <w:t>53</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"_Toc152148729" </w:instrText>
          </w:r>
          <w:r>
            <w:fldChar w:fldCharType="separate"/>
          </w:r>
          <w:r>
            <w:rPr>
              <w:rStyle w:val="32"/>
              <w:sz w:val="24"/>
            </w:rPr>
            <w:t>3.4.4 提升资源利用效率</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_Toc152148729 \h </w:instrText>
          </w:r>
          <w:r>
            <w:rPr>
              <w:rFonts w:ascii="Times New Roman" w:hAnsi="Times New Roman"/>
              <w:sz w:val="24"/>
            </w:rPr>
            <w:fldChar w:fldCharType="separate"/>
          </w:r>
          <w:r>
            <w:rPr>
              <w:rFonts w:ascii="Times New Roman" w:hAnsi="Times New Roman"/>
              <w:sz w:val="24"/>
            </w:rPr>
            <w:t>54</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"_Toc152148730" </w:instrText>
          </w:r>
          <w:r>
            <w:fldChar w:fldCharType="separate"/>
          </w:r>
          <w:r>
            <w:rPr>
              <w:rStyle w:val="32"/>
              <w:sz w:val="24"/>
            </w:rPr>
            <w:t>3.4.5 加强农业面源污染防治</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_Toc152148730 \h </w:instrText>
          </w:r>
          <w:r>
            <w:rPr>
              <w:rFonts w:ascii="Times New Roman" w:hAnsi="Times New Roman"/>
              <w:sz w:val="24"/>
            </w:rPr>
            <w:fldChar w:fldCharType="separate"/>
          </w:r>
          <w:r>
            <w:rPr>
              <w:rFonts w:ascii="Times New Roman" w:hAnsi="Times New Roman"/>
              <w:sz w:val="24"/>
            </w:rPr>
            <w:t>55</w:t>
          </w:r>
          <w:r>
            <w:rPr>
              <w:rFonts w:ascii="Times New Roman" w:hAnsi="Times New Roman"/>
              <w:sz w:val="24"/>
            </w:rPr>
            <w:fldChar w:fldCharType="end"/>
          </w:r>
          <w:r>
            <w:rPr>
              <w:rFonts w:ascii="Times New Roman" w:hAnsi="Times New Roman"/>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"_Toc152148731" </w:instrText>
          </w:r>
          <w:r>
            <w:fldChar w:fldCharType="separate"/>
          </w:r>
          <w:r>
            <w:rPr>
              <w:rStyle w:val="32"/>
              <w:sz w:val="24"/>
            </w:rPr>
            <w:t>3.5 塑造生态生活，建设宜居万宁</w:t>
          </w:r>
          <w:r>
            <w:rPr>
              <w:sz w:val="24"/>
            </w:rPr>
            <w:tab/>
          </w:r>
          <w:r>
            <w:rPr>
              <w:sz w:val="24"/>
            </w:rPr>
            <w:fldChar w:fldCharType="begin"/>
          </w:r>
          <w:r>
            <w:rPr>
              <w:sz w:val="24"/>
            </w:rPr>
            <w:instrText xml:space="preserve"> PAGEREF _Toc152148731 \h </w:instrText>
          </w:r>
          <w:r>
            <w:rPr>
              <w:sz w:val="24"/>
            </w:rPr>
            <w:fldChar w:fldCharType="separate"/>
          </w:r>
          <w:r>
            <w:rPr>
              <w:sz w:val="24"/>
            </w:rPr>
            <w:t>57</w:t>
          </w:r>
          <w:r>
            <w:rPr>
              <w:sz w:val="24"/>
            </w:rPr>
            <w:fldChar w:fldCharType="end"/>
          </w:r>
          <w:r>
            <w:rPr>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"_Toc152148732" </w:instrText>
          </w:r>
          <w:r>
            <w:fldChar w:fldCharType="separate"/>
          </w:r>
          <w:r>
            <w:rPr>
              <w:rStyle w:val="32"/>
              <w:sz w:val="24"/>
            </w:rPr>
            <w:t>3.5.1 持续推进城乡环境一体化建设</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_Toc152148732 \h </w:instrText>
          </w:r>
          <w:r>
            <w:rPr>
              <w:rFonts w:ascii="Times New Roman" w:hAnsi="Times New Roman"/>
              <w:sz w:val="24"/>
            </w:rPr>
            <w:fldChar w:fldCharType="separate"/>
          </w:r>
          <w:r>
            <w:rPr>
              <w:rFonts w:ascii="Times New Roman" w:hAnsi="Times New Roman"/>
              <w:sz w:val="24"/>
            </w:rPr>
            <w:t>57</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"_Toc152148733" </w:instrText>
          </w:r>
          <w:r>
            <w:fldChar w:fldCharType="separate"/>
          </w:r>
          <w:r>
            <w:rPr>
              <w:rStyle w:val="32"/>
              <w:sz w:val="24"/>
            </w:rPr>
            <w:t>3.5.2 品质提升，建设宜居宜业生态城区</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_Toc152148733 \h </w:instrText>
          </w:r>
          <w:r>
            <w:rPr>
              <w:rFonts w:ascii="Times New Roman" w:hAnsi="Times New Roman"/>
              <w:sz w:val="24"/>
            </w:rPr>
            <w:fldChar w:fldCharType="separate"/>
          </w:r>
          <w:r>
            <w:rPr>
              <w:rFonts w:ascii="Times New Roman" w:hAnsi="Times New Roman"/>
              <w:sz w:val="24"/>
            </w:rPr>
            <w:t>58</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"_Toc152148734" </w:instrText>
          </w:r>
          <w:r>
            <w:fldChar w:fldCharType="separate"/>
          </w:r>
          <w:r>
            <w:rPr>
              <w:rStyle w:val="32"/>
              <w:sz w:val="24"/>
            </w:rPr>
            <w:t>3.5.3 全面推进乡村生态振兴，建设秀美椰风乡村</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_Toc152148734 \h </w:instrText>
          </w:r>
          <w:r>
            <w:rPr>
              <w:rFonts w:ascii="Times New Roman" w:hAnsi="Times New Roman"/>
              <w:sz w:val="24"/>
            </w:rPr>
            <w:fldChar w:fldCharType="separate"/>
          </w:r>
          <w:r>
            <w:rPr>
              <w:rFonts w:ascii="Times New Roman" w:hAnsi="Times New Roman"/>
              <w:sz w:val="24"/>
            </w:rPr>
            <w:t>60</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"_Toc152148735" </w:instrText>
          </w:r>
          <w:r>
            <w:fldChar w:fldCharType="separate"/>
          </w:r>
          <w:r>
            <w:rPr>
              <w:rStyle w:val="32"/>
              <w:sz w:val="24"/>
            </w:rPr>
            <w:t>3.5.4 积极推进海绵城市示范建设</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_Toc152148735 \h </w:instrText>
          </w:r>
          <w:r>
            <w:rPr>
              <w:rFonts w:ascii="Times New Roman" w:hAnsi="Times New Roman"/>
              <w:sz w:val="24"/>
            </w:rPr>
            <w:fldChar w:fldCharType="separate"/>
          </w:r>
          <w:r>
            <w:rPr>
              <w:rFonts w:ascii="Times New Roman" w:hAnsi="Times New Roman"/>
              <w:sz w:val="24"/>
            </w:rPr>
            <w:t>61</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"_Toc152148736" </w:instrText>
          </w:r>
          <w:r>
            <w:fldChar w:fldCharType="separate"/>
          </w:r>
          <w:r>
            <w:rPr>
              <w:rStyle w:val="32"/>
              <w:sz w:val="24"/>
            </w:rPr>
            <w:t>3.5.5 绿色生活方式</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_Toc152148736 \h </w:instrText>
          </w:r>
          <w:r>
            <w:rPr>
              <w:rFonts w:ascii="Times New Roman" w:hAnsi="Times New Roman"/>
              <w:sz w:val="24"/>
            </w:rPr>
            <w:fldChar w:fldCharType="separate"/>
          </w:r>
          <w:r>
            <w:rPr>
              <w:rFonts w:ascii="Times New Roman" w:hAnsi="Times New Roman"/>
              <w:sz w:val="24"/>
            </w:rPr>
            <w:t>62</w:t>
          </w:r>
          <w:r>
            <w:rPr>
              <w:rFonts w:ascii="Times New Roman" w:hAnsi="Times New Roman"/>
              <w:sz w:val="24"/>
            </w:rPr>
            <w:fldChar w:fldCharType="end"/>
          </w:r>
          <w:r>
            <w:rPr>
              <w:rFonts w:ascii="Times New Roman" w:hAnsi="Times New Roman"/>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"_Toc152148737" </w:instrText>
          </w:r>
          <w:r>
            <w:fldChar w:fldCharType="separate"/>
          </w:r>
          <w:r>
            <w:rPr>
              <w:rStyle w:val="32"/>
              <w:sz w:val="24"/>
            </w:rPr>
            <w:t>3.6 倡导生态文化，建设人文万宁</w:t>
          </w:r>
          <w:r>
            <w:rPr>
              <w:sz w:val="24"/>
            </w:rPr>
            <w:tab/>
          </w:r>
          <w:r>
            <w:rPr>
              <w:sz w:val="24"/>
            </w:rPr>
            <w:fldChar w:fldCharType="begin"/>
          </w:r>
          <w:r>
            <w:rPr>
              <w:sz w:val="24"/>
            </w:rPr>
            <w:instrText xml:space="preserve"> PAGEREF _Toc152148737 \h </w:instrText>
          </w:r>
          <w:r>
            <w:rPr>
              <w:sz w:val="24"/>
            </w:rPr>
            <w:fldChar w:fldCharType="separate"/>
          </w:r>
          <w:r>
            <w:rPr>
              <w:sz w:val="24"/>
            </w:rPr>
            <w:t>64</w:t>
          </w:r>
          <w:r>
            <w:rPr>
              <w:sz w:val="24"/>
            </w:rPr>
            <w:fldChar w:fldCharType="end"/>
          </w:r>
          <w:r>
            <w:rPr>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"_Toc152148738" </w:instrText>
          </w:r>
          <w:r>
            <w:fldChar w:fldCharType="separate"/>
          </w:r>
          <w:r>
            <w:rPr>
              <w:rStyle w:val="32"/>
              <w:sz w:val="24"/>
            </w:rPr>
            <w:t>3.6.1 培育特色生态文化品牌</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_Toc152148738 \h </w:instrText>
          </w:r>
          <w:r>
            <w:rPr>
              <w:rFonts w:ascii="Times New Roman" w:hAnsi="Times New Roman"/>
              <w:sz w:val="24"/>
            </w:rPr>
            <w:fldChar w:fldCharType="separate"/>
          </w:r>
          <w:r>
            <w:rPr>
              <w:rFonts w:ascii="Times New Roman" w:hAnsi="Times New Roman"/>
              <w:sz w:val="24"/>
            </w:rPr>
            <w:t>64</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"_Toc152148739" </w:instrText>
          </w:r>
          <w:r>
            <w:fldChar w:fldCharType="separate"/>
          </w:r>
          <w:r>
            <w:rPr>
              <w:rStyle w:val="32"/>
              <w:sz w:val="24"/>
            </w:rPr>
            <w:t>3.6.2 完善生态文化载体建设</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_Toc152148739 \h </w:instrText>
          </w:r>
          <w:r>
            <w:rPr>
              <w:rFonts w:ascii="Times New Roman" w:hAnsi="Times New Roman"/>
              <w:sz w:val="24"/>
            </w:rPr>
            <w:fldChar w:fldCharType="separate"/>
          </w:r>
          <w:r>
            <w:rPr>
              <w:rFonts w:ascii="Times New Roman" w:hAnsi="Times New Roman"/>
              <w:sz w:val="24"/>
            </w:rPr>
            <w:t>64</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"_Toc152148740" </w:instrText>
          </w:r>
          <w:r>
            <w:fldChar w:fldCharType="separate"/>
          </w:r>
          <w:r>
            <w:rPr>
              <w:rStyle w:val="32"/>
              <w:sz w:val="24"/>
            </w:rPr>
            <w:t>3.6.3 完善生态文明教育体系</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_Toc152148740 \h </w:instrText>
          </w:r>
          <w:r>
            <w:rPr>
              <w:rFonts w:ascii="Times New Roman" w:hAnsi="Times New Roman"/>
              <w:sz w:val="24"/>
            </w:rPr>
            <w:fldChar w:fldCharType="separate"/>
          </w:r>
          <w:r>
            <w:rPr>
              <w:rFonts w:ascii="Times New Roman" w:hAnsi="Times New Roman"/>
              <w:sz w:val="24"/>
            </w:rPr>
            <w:t>66</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"_Toc152148741" </w:instrText>
          </w:r>
          <w:r>
            <w:fldChar w:fldCharType="separate"/>
          </w:r>
          <w:r>
            <w:rPr>
              <w:rStyle w:val="32"/>
              <w:sz w:val="24"/>
            </w:rPr>
            <w:t>3.6.4 推动生态文明共建共享</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_Toc152148741 \h </w:instrText>
          </w:r>
          <w:r>
            <w:rPr>
              <w:rFonts w:ascii="Times New Roman" w:hAnsi="Times New Roman"/>
              <w:sz w:val="24"/>
            </w:rPr>
            <w:fldChar w:fldCharType="separate"/>
          </w:r>
          <w:r>
            <w:rPr>
              <w:rFonts w:ascii="Times New Roman" w:hAnsi="Times New Roman"/>
              <w:sz w:val="24"/>
            </w:rPr>
            <w:t>67</w:t>
          </w:r>
          <w:r>
            <w:rPr>
              <w:rFonts w:ascii="Times New Roman" w:hAnsi="Times New Roman"/>
              <w:sz w:val="24"/>
            </w:rPr>
            <w:fldChar w:fldCharType="end"/>
          </w:r>
          <w:r>
            <w:rPr>
              <w:rFonts w:ascii="Times New Roman" w:hAnsi="Times New Roman"/>
              <w:sz w:val="24"/>
            </w:rPr>
            <w:fldChar w:fldCharType="end"/>
          </w:r>
        </w:p>
        <w:p>
          <w:pPr>
            <w:pStyle w:val="17"/>
            <w:ind w:firstLine="0" w:firstLineChars="0"/>
            <w:rPr>
              <w:rFonts w:ascii="Times New Roman" w:hAnsi="Times New Roman" w:eastAsiaTheme="minorEastAsia"/>
              <w:sz w:val="24"/>
              <w14:ligatures w14:val="standardContextual"/>
            </w:rPr>
          </w:pPr>
          <w:r>
            <w:fldChar w:fldCharType="begin"/>
          </w:r>
          <w:r>
            <w:instrText xml:space="preserve"> HYPERLINK \l "_Toc152148742" </w:instrText>
          </w:r>
          <w:r>
            <w:fldChar w:fldCharType="separate"/>
          </w:r>
          <w:r>
            <w:rPr>
              <w:rStyle w:val="32"/>
              <w:sz w:val="24"/>
            </w:rPr>
            <w:t>4. 重点工程与效益分析</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_Toc152148742 \h </w:instrText>
          </w:r>
          <w:r>
            <w:rPr>
              <w:rFonts w:ascii="Times New Roman" w:hAnsi="Times New Roman"/>
              <w:sz w:val="24"/>
            </w:rPr>
            <w:fldChar w:fldCharType="separate"/>
          </w:r>
          <w:r>
            <w:rPr>
              <w:rFonts w:ascii="Times New Roman" w:hAnsi="Times New Roman"/>
              <w:sz w:val="24"/>
            </w:rPr>
            <w:t>70</w:t>
          </w:r>
          <w:r>
            <w:rPr>
              <w:rFonts w:ascii="Times New Roman" w:hAnsi="Times New Roman"/>
              <w:sz w:val="24"/>
            </w:rPr>
            <w:fldChar w:fldCharType="end"/>
          </w:r>
          <w:r>
            <w:rPr>
              <w:rFonts w:ascii="Times New Roman" w:hAnsi="Times New Roman"/>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"_Toc152148743" </w:instrText>
          </w:r>
          <w:r>
            <w:fldChar w:fldCharType="separate"/>
          </w:r>
          <w:r>
            <w:rPr>
              <w:rStyle w:val="32"/>
              <w:sz w:val="24"/>
            </w:rPr>
            <w:t>4.1 工程内容与投资估算</w:t>
          </w:r>
          <w:r>
            <w:rPr>
              <w:sz w:val="24"/>
            </w:rPr>
            <w:tab/>
          </w:r>
          <w:r>
            <w:rPr>
              <w:sz w:val="24"/>
            </w:rPr>
            <w:fldChar w:fldCharType="begin"/>
          </w:r>
          <w:r>
            <w:rPr>
              <w:sz w:val="24"/>
            </w:rPr>
            <w:instrText xml:space="preserve"> PAGEREF _Toc152148743 \h </w:instrText>
          </w:r>
          <w:r>
            <w:rPr>
              <w:sz w:val="24"/>
            </w:rPr>
            <w:fldChar w:fldCharType="separate"/>
          </w:r>
          <w:r>
            <w:rPr>
              <w:sz w:val="24"/>
            </w:rPr>
            <w:t>70</w:t>
          </w:r>
          <w:r>
            <w:rPr>
              <w:sz w:val="24"/>
            </w:rPr>
            <w:fldChar w:fldCharType="end"/>
          </w:r>
          <w:r>
            <w:rPr>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"_Toc152148744" </w:instrText>
          </w:r>
          <w:r>
            <w:fldChar w:fldCharType="separate"/>
          </w:r>
          <w:r>
            <w:rPr>
              <w:rStyle w:val="32"/>
              <w:sz w:val="24"/>
            </w:rPr>
            <w:t>4.2 效益分析</w:t>
          </w:r>
          <w:r>
            <w:rPr>
              <w:sz w:val="24"/>
            </w:rPr>
            <w:tab/>
          </w:r>
          <w:r>
            <w:rPr>
              <w:sz w:val="24"/>
            </w:rPr>
            <w:fldChar w:fldCharType="begin"/>
          </w:r>
          <w:r>
            <w:rPr>
              <w:sz w:val="24"/>
            </w:rPr>
            <w:instrText xml:space="preserve"> PAGEREF _Toc152148744 \h </w:instrText>
          </w:r>
          <w:r>
            <w:rPr>
              <w:sz w:val="24"/>
            </w:rPr>
            <w:fldChar w:fldCharType="separate"/>
          </w:r>
          <w:r>
            <w:rPr>
              <w:sz w:val="24"/>
            </w:rPr>
            <w:t>81</w:t>
          </w:r>
          <w:r>
            <w:rPr>
              <w:sz w:val="24"/>
            </w:rPr>
            <w:fldChar w:fldCharType="end"/>
          </w:r>
          <w:r>
            <w:rPr>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"_Toc152148745" </w:instrText>
          </w:r>
          <w:r>
            <w:fldChar w:fldCharType="separate"/>
          </w:r>
          <w:r>
            <w:rPr>
              <w:rStyle w:val="32"/>
              <w:sz w:val="24"/>
            </w:rPr>
            <w:t>4.2.1 生态环境效益</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_Toc152148745 \h </w:instrText>
          </w:r>
          <w:r>
            <w:rPr>
              <w:rFonts w:ascii="Times New Roman" w:hAnsi="Times New Roman"/>
              <w:sz w:val="24"/>
            </w:rPr>
            <w:fldChar w:fldCharType="separate"/>
          </w:r>
          <w:r>
            <w:rPr>
              <w:rFonts w:ascii="Times New Roman" w:hAnsi="Times New Roman"/>
              <w:sz w:val="24"/>
            </w:rPr>
            <w:t>81</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"_Toc152148746" </w:instrText>
          </w:r>
          <w:r>
            <w:fldChar w:fldCharType="separate"/>
          </w:r>
          <w:r>
            <w:rPr>
              <w:rStyle w:val="32"/>
              <w:sz w:val="24"/>
            </w:rPr>
            <w:t>4.2.2 社会效益</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_Toc152148746 \h </w:instrText>
          </w:r>
          <w:r>
            <w:rPr>
              <w:rFonts w:ascii="Times New Roman" w:hAnsi="Times New Roman"/>
              <w:sz w:val="24"/>
            </w:rPr>
            <w:fldChar w:fldCharType="separate"/>
          </w:r>
          <w:r>
            <w:rPr>
              <w:rFonts w:ascii="Times New Roman" w:hAnsi="Times New Roman"/>
              <w:sz w:val="24"/>
            </w:rPr>
            <w:t>81</w:t>
          </w:r>
          <w:r>
            <w:rPr>
              <w:rFonts w:ascii="Times New Roman" w:hAnsi="Times New Roman"/>
              <w:sz w:val="24"/>
            </w:rPr>
            <w:fldChar w:fldCharType="end"/>
          </w:r>
          <w:r>
            <w:rPr>
              <w:rFonts w:ascii="Times New Roman" w:hAnsi="Times New Roman"/>
              <w:sz w:val="24"/>
            </w:rPr>
            <w:fldChar w:fldCharType="end"/>
          </w:r>
        </w:p>
        <w:p>
          <w:pPr>
            <w:pStyle w:val="12"/>
            <w:tabs>
              <w:tab w:val="right" w:leader="dot" w:pos="8296"/>
            </w:tabs>
            <w:ind w:left="1120" w:firstLine="0" w:firstLineChars="0"/>
            <w:rPr>
              <w:rFonts w:ascii="Times New Roman" w:hAnsi="Times New Roman" w:eastAsiaTheme="minorEastAsia"/>
              <w:sz w:val="24"/>
              <w14:ligatures w14:val="standardContextual"/>
            </w:rPr>
          </w:pPr>
          <w:r>
            <w:fldChar w:fldCharType="begin"/>
          </w:r>
          <w:r>
            <w:instrText xml:space="preserve"> HYPERLINK \l "_Toc152148747" </w:instrText>
          </w:r>
          <w:r>
            <w:fldChar w:fldCharType="separate"/>
          </w:r>
          <w:r>
            <w:rPr>
              <w:rStyle w:val="32"/>
              <w:sz w:val="24"/>
            </w:rPr>
            <w:t>4.2.3 经济效益</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_Toc152148747 \h </w:instrText>
          </w:r>
          <w:r>
            <w:rPr>
              <w:rFonts w:ascii="Times New Roman" w:hAnsi="Times New Roman"/>
              <w:sz w:val="24"/>
            </w:rPr>
            <w:fldChar w:fldCharType="separate"/>
          </w:r>
          <w:r>
            <w:rPr>
              <w:rFonts w:ascii="Times New Roman" w:hAnsi="Times New Roman"/>
              <w:sz w:val="24"/>
            </w:rPr>
            <w:t>82</w:t>
          </w:r>
          <w:r>
            <w:rPr>
              <w:rFonts w:ascii="Times New Roman" w:hAnsi="Times New Roman"/>
              <w:sz w:val="24"/>
            </w:rPr>
            <w:fldChar w:fldCharType="end"/>
          </w:r>
          <w:r>
            <w:rPr>
              <w:rFonts w:ascii="Times New Roman" w:hAnsi="Times New Roman"/>
              <w:sz w:val="24"/>
            </w:rPr>
            <w:fldChar w:fldCharType="end"/>
          </w:r>
        </w:p>
        <w:p>
          <w:pPr>
            <w:pStyle w:val="17"/>
            <w:ind w:firstLine="0" w:firstLineChars="0"/>
            <w:rPr>
              <w:rFonts w:ascii="Times New Roman" w:hAnsi="Times New Roman" w:eastAsiaTheme="minorEastAsia"/>
              <w:sz w:val="24"/>
              <w14:ligatures w14:val="standardContextual"/>
            </w:rPr>
          </w:pPr>
          <w:r>
            <w:fldChar w:fldCharType="begin"/>
          </w:r>
          <w:r>
            <w:instrText xml:space="preserve"> HYPERLINK \l "_Toc152148748" </w:instrText>
          </w:r>
          <w:r>
            <w:fldChar w:fldCharType="separate"/>
          </w:r>
          <w:r>
            <w:rPr>
              <w:rStyle w:val="32"/>
              <w:sz w:val="24"/>
            </w:rPr>
            <w:t>5. 保障措施</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_Toc152148748 \h </w:instrText>
          </w:r>
          <w:r>
            <w:rPr>
              <w:rFonts w:ascii="Times New Roman" w:hAnsi="Times New Roman"/>
              <w:sz w:val="24"/>
            </w:rPr>
            <w:fldChar w:fldCharType="separate"/>
          </w:r>
          <w:r>
            <w:rPr>
              <w:rFonts w:ascii="Times New Roman" w:hAnsi="Times New Roman"/>
              <w:sz w:val="24"/>
            </w:rPr>
            <w:t>83</w:t>
          </w:r>
          <w:r>
            <w:rPr>
              <w:rFonts w:ascii="Times New Roman" w:hAnsi="Times New Roman"/>
              <w:sz w:val="24"/>
            </w:rPr>
            <w:fldChar w:fldCharType="end"/>
          </w:r>
          <w:r>
            <w:rPr>
              <w:rFonts w:ascii="Times New Roman" w:hAnsi="Times New Roman"/>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"_Toc152148749" </w:instrText>
          </w:r>
          <w:r>
            <w:fldChar w:fldCharType="separate"/>
          </w:r>
          <w:r>
            <w:rPr>
              <w:rStyle w:val="32"/>
              <w:sz w:val="24"/>
            </w:rPr>
            <w:t>5.1 强化组织领导</w:t>
          </w:r>
          <w:r>
            <w:rPr>
              <w:sz w:val="24"/>
            </w:rPr>
            <w:tab/>
          </w:r>
          <w:r>
            <w:rPr>
              <w:sz w:val="24"/>
            </w:rPr>
            <w:fldChar w:fldCharType="begin"/>
          </w:r>
          <w:r>
            <w:rPr>
              <w:sz w:val="24"/>
            </w:rPr>
            <w:instrText xml:space="preserve"> PAGEREF _Toc152148749 \h </w:instrText>
          </w:r>
          <w:r>
            <w:rPr>
              <w:sz w:val="24"/>
            </w:rPr>
            <w:fldChar w:fldCharType="separate"/>
          </w:r>
          <w:r>
            <w:rPr>
              <w:sz w:val="24"/>
            </w:rPr>
            <w:t>83</w:t>
          </w:r>
          <w:r>
            <w:rPr>
              <w:sz w:val="24"/>
            </w:rPr>
            <w:fldChar w:fldCharType="end"/>
          </w:r>
          <w:r>
            <w:rPr>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"_Toc152148750" </w:instrText>
          </w:r>
          <w:r>
            <w:fldChar w:fldCharType="separate"/>
          </w:r>
          <w:r>
            <w:rPr>
              <w:rStyle w:val="32"/>
              <w:sz w:val="24"/>
            </w:rPr>
            <w:t>5.2 强化监督考核</w:t>
          </w:r>
          <w:r>
            <w:rPr>
              <w:sz w:val="24"/>
            </w:rPr>
            <w:tab/>
          </w:r>
          <w:r>
            <w:rPr>
              <w:sz w:val="24"/>
            </w:rPr>
            <w:fldChar w:fldCharType="begin"/>
          </w:r>
          <w:r>
            <w:rPr>
              <w:sz w:val="24"/>
            </w:rPr>
            <w:instrText xml:space="preserve"> PAGEREF _Toc152148750 \h </w:instrText>
          </w:r>
          <w:r>
            <w:rPr>
              <w:sz w:val="24"/>
            </w:rPr>
            <w:fldChar w:fldCharType="separate"/>
          </w:r>
          <w:r>
            <w:rPr>
              <w:sz w:val="24"/>
            </w:rPr>
            <w:t>83</w:t>
          </w:r>
          <w:r>
            <w:rPr>
              <w:sz w:val="24"/>
            </w:rPr>
            <w:fldChar w:fldCharType="end"/>
          </w:r>
          <w:r>
            <w:rPr>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"_Toc152148751" </w:instrText>
          </w:r>
          <w:r>
            <w:fldChar w:fldCharType="separate"/>
          </w:r>
          <w:r>
            <w:rPr>
              <w:rStyle w:val="32"/>
              <w:sz w:val="24"/>
            </w:rPr>
            <w:t>5.3 强化资金统筹</w:t>
          </w:r>
          <w:r>
            <w:rPr>
              <w:sz w:val="24"/>
            </w:rPr>
            <w:tab/>
          </w:r>
          <w:r>
            <w:rPr>
              <w:sz w:val="24"/>
            </w:rPr>
            <w:fldChar w:fldCharType="begin"/>
          </w:r>
          <w:r>
            <w:rPr>
              <w:sz w:val="24"/>
            </w:rPr>
            <w:instrText xml:space="preserve"> PAGEREF _Toc152148751 \h </w:instrText>
          </w:r>
          <w:r>
            <w:rPr>
              <w:sz w:val="24"/>
            </w:rPr>
            <w:fldChar w:fldCharType="separate"/>
          </w:r>
          <w:r>
            <w:rPr>
              <w:sz w:val="24"/>
            </w:rPr>
            <w:t>83</w:t>
          </w:r>
          <w:r>
            <w:rPr>
              <w:sz w:val="24"/>
            </w:rPr>
            <w:fldChar w:fldCharType="end"/>
          </w:r>
          <w:r>
            <w:rPr>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"_Toc152148752" </w:instrText>
          </w:r>
          <w:r>
            <w:fldChar w:fldCharType="separate"/>
          </w:r>
          <w:r>
            <w:rPr>
              <w:rStyle w:val="32"/>
              <w:sz w:val="24"/>
            </w:rPr>
            <w:t>5.4 强化科技创新</w:t>
          </w:r>
          <w:r>
            <w:rPr>
              <w:sz w:val="24"/>
            </w:rPr>
            <w:tab/>
          </w:r>
          <w:r>
            <w:rPr>
              <w:sz w:val="24"/>
            </w:rPr>
            <w:fldChar w:fldCharType="begin"/>
          </w:r>
          <w:r>
            <w:rPr>
              <w:sz w:val="24"/>
            </w:rPr>
            <w:instrText xml:space="preserve"> PAGEREF _Toc152148752 \h </w:instrText>
          </w:r>
          <w:r>
            <w:rPr>
              <w:sz w:val="24"/>
            </w:rPr>
            <w:fldChar w:fldCharType="separate"/>
          </w:r>
          <w:r>
            <w:rPr>
              <w:sz w:val="24"/>
            </w:rPr>
            <w:t>84</w:t>
          </w:r>
          <w:r>
            <w:rPr>
              <w:sz w:val="24"/>
            </w:rPr>
            <w:fldChar w:fldCharType="end"/>
          </w:r>
          <w:r>
            <w:rPr>
              <w:sz w:val="24"/>
            </w:rPr>
            <w:fldChar w:fldCharType="end"/>
          </w:r>
        </w:p>
        <w:p>
          <w:pPr>
            <w:pStyle w:val="21"/>
            <w:tabs>
              <w:tab w:val="right" w:leader="dot" w:pos="8296"/>
            </w:tabs>
            <w:ind w:left="560" w:firstLine="0" w:firstLineChars="0"/>
            <w:rPr>
              <w:rFonts w:eastAsiaTheme="minorEastAsia"/>
              <w:sz w:val="24"/>
              <w14:ligatures w14:val="standardContextual"/>
            </w:rPr>
          </w:pPr>
          <w:r>
            <w:fldChar w:fldCharType="begin"/>
          </w:r>
          <w:r>
            <w:instrText xml:space="preserve"> HYPERLINK \l "_Toc152148753" </w:instrText>
          </w:r>
          <w:r>
            <w:fldChar w:fldCharType="separate"/>
          </w:r>
          <w:r>
            <w:rPr>
              <w:rStyle w:val="32"/>
              <w:sz w:val="24"/>
            </w:rPr>
            <w:t>5.5 社会宣传舆论保障</w:t>
          </w:r>
          <w:r>
            <w:rPr>
              <w:sz w:val="24"/>
            </w:rPr>
            <w:tab/>
          </w:r>
          <w:r>
            <w:rPr>
              <w:sz w:val="24"/>
            </w:rPr>
            <w:fldChar w:fldCharType="begin"/>
          </w:r>
          <w:r>
            <w:rPr>
              <w:sz w:val="24"/>
            </w:rPr>
            <w:instrText xml:space="preserve"> PAGEREF _Toc152148753 \h </w:instrText>
          </w:r>
          <w:r>
            <w:rPr>
              <w:sz w:val="24"/>
            </w:rPr>
            <w:fldChar w:fldCharType="separate"/>
          </w:r>
          <w:r>
            <w:rPr>
              <w:sz w:val="24"/>
            </w:rPr>
            <w:t>84</w:t>
          </w:r>
          <w:r>
            <w:rPr>
              <w:sz w:val="24"/>
            </w:rPr>
            <w:fldChar w:fldCharType="end"/>
          </w:r>
          <w:r>
            <w:rPr>
              <w:sz w:val="24"/>
            </w:rPr>
            <w:fldChar w:fldCharType="end"/>
          </w:r>
        </w:p>
        <w:p>
          <w:pPr>
            <w:pStyle w:val="17"/>
            <w:ind w:firstLine="0" w:firstLineChars="0"/>
            <w:rPr>
              <w:rFonts w:ascii="Times New Roman" w:hAnsi="Times New Roman" w:eastAsiaTheme="minorEastAsia"/>
              <w:sz w:val="24"/>
              <w14:ligatures w14:val="standardContextual"/>
            </w:rPr>
          </w:pPr>
        </w:p>
        <w:p>
          <w:pPr>
            <w:pStyle w:val="17"/>
            <w:ind w:firstLine="0" w:firstLineChars="0"/>
            <w:rPr>
              <w:sz w:val="24"/>
            </w:rPr>
          </w:pPr>
          <w:r>
            <w:rPr>
              <w:b/>
              <w:bCs/>
              <w:sz w:val="24"/>
              <w:lang w:val="zh-CN"/>
            </w:rPr>
            <w:fldChar w:fldCharType="end"/>
          </w:r>
        </w:p>
      </w:sdtContent>
    </w:sdt>
    <w:p>
      <w:pPr>
        <w:widowControl/>
        <w:adjustRightInd/>
        <w:snapToGrid/>
        <w:spacing w:line="240" w:lineRule="auto"/>
        <w:ind w:firstLine="0" w:firstLineChars="0"/>
        <w:jc w:val="left"/>
      </w:pPr>
    </w:p>
    <w:p>
      <w:pPr>
        <w:widowControl/>
        <w:adjustRightInd/>
        <w:snapToGrid/>
        <w:spacing w:line="240" w:lineRule="auto"/>
        <w:ind w:firstLine="0" w:firstLineChars="0"/>
        <w:jc w:val="left"/>
      </w:pPr>
      <w:r>
        <w:br w:type="page"/>
      </w:r>
    </w:p>
    <w:p>
      <w:pPr>
        <w:widowControl/>
        <w:adjustRightInd/>
        <w:snapToGrid/>
        <w:spacing w:line="240" w:lineRule="auto"/>
        <w:ind w:firstLine="0" w:firstLineChars="0"/>
        <w:jc w:val="left"/>
      </w:pPr>
      <w:r>
        <w:br w:type="page"/>
      </w:r>
    </w:p>
    <w:p>
      <w:pPr>
        <w:widowControl/>
        <w:adjustRightInd/>
        <w:snapToGrid/>
        <w:spacing w:line="240" w:lineRule="auto"/>
        <w:ind w:firstLine="0" w:firstLineChars="0"/>
        <w:jc w:val="left"/>
        <w:sectPr>
          <w:pgSz w:w="11906" w:h="16838"/>
          <w:pgMar w:top="1440" w:right="1800" w:bottom="1440" w:left="1800" w:header="851" w:footer="992" w:gutter="0"/>
          <w:cols w:space="425" w:num="1"/>
          <w:docGrid w:type="lines" w:linePitch="312" w:charSpace="0"/>
        </w:sectPr>
      </w:pPr>
    </w:p>
    <w:p>
      <w:pPr>
        <w:widowControl/>
        <w:adjustRightInd/>
        <w:snapToGrid/>
        <w:spacing w:line="240" w:lineRule="auto"/>
        <w:ind w:firstLine="0" w:firstLineChars="0"/>
        <w:jc w:val="center"/>
        <w:rPr>
          <w:b/>
          <w:bCs/>
          <w:sz w:val="36"/>
          <w:szCs w:val="36"/>
        </w:rPr>
      </w:pPr>
      <w:r>
        <w:rPr>
          <w:rFonts w:hint="eastAsia"/>
          <w:b/>
          <w:bCs/>
          <w:sz w:val="36"/>
          <w:szCs w:val="36"/>
        </w:rPr>
        <w:t>前言</w:t>
      </w:r>
    </w:p>
    <w:p>
      <w:pPr>
        <w:ind w:firstLine="600"/>
        <w:rPr>
          <w:sz w:val="30"/>
          <w:szCs w:val="30"/>
        </w:rPr>
      </w:pPr>
      <w:r>
        <w:rPr>
          <w:rFonts w:hint="eastAsia"/>
          <w:sz w:val="30"/>
          <w:szCs w:val="30"/>
        </w:rPr>
        <w:t>生态文明建设是实现我国社会经济转型升级、生态环境由量到质全面提升的关键。习近平生态文明思想和党的二十大精神、全国生态环境保护大会精神提出要践行“绿水青山就是金山银山”“山水林田湖草生命共同体”“人与自然和谐共生”等生态文明建设理念和做法，把建设美丽中国摆在强国建设、民族复兴的突出位置，以高品质生态环境支撑高质量发展，加快推进人与自然和谐共生的现代化。习近平总书记非常关心海南省的生态文明建设，指出“海南要坚持生态立省不动摇，把生态文明建设作为重中之重，对热带雨林实行严格保护，实现生态保护、绿色发展、民生改善相统一”。</w:t>
      </w:r>
    </w:p>
    <w:p>
      <w:pPr>
        <w:ind w:firstLine="600"/>
        <w:rPr>
          <w:sz w:val="30"/>
          <w:szCs w:val="30"/>
        </w:rPr>
      </w:pPr>
      <w:r>
        <w:rPr>
          <w:rFonts w:hint="eastAsia"/>
          <w:sz w:val="30"/>
          <w:szCs w:val="30"/>
        </w:rPr>
        <w:t>海南省深入贯彻落实习近平总书记在海南的重要讲话精神，坚持“生态立省”战略，确保生态环境质量只能更好、不能变差，人民群众对优良生态环境的获得感进一步增强。海南省全面贯彻中共中央办公厅国务院办公厅印发《国家生态文明试验区（海南）实施方案》，加强生态空间用途管制，力争把海南建设成为生态文明体制改革样板区、陆海统筹保护发展实践区、生态价值实现机制试验区和清洁能源优先发展示范区。《海南省“十四五”生态环境保护规划》指出，“十四五”时期海南省要打造“生态文明建设样板区”“绿色低碳循环发展先行区”“生态环境质量标杆区”“陆海统筹保护发展实践区”“两山转化实践试验区</w:t>
      </w:r>
      <w:r>
        <w:rPr>
          <w:sz w:val="30"/>
          <w:szCs w:val="30"/>
        </w:rPr>
        <w:t>”</w:t>
      </w:r>
      <w:r>
        <w:rPr>
          <w:rFonts w:hint="eastAsia"/>
          <w:sz w:val="30"/>
          <w:szCs w:val="30"/>
        </w:rPr>
        <w:t>“生态环境治理能力现代化示范区”的总体战略定位目标。</w:t>
      </w:r>
    </w:p>
    <w:p>
      <w:pPr>
        <w:ind w:firstLine="600"/>
        <w:rPr>
          <w:sz w:val="30"/>
          <w:szCs w:val="30"/>
        </w:rPr>
      </w:pPr>
      <w:r>
        <w:rPr>
          <w:rFonts w:hint="eastAsia"/>
          <w:sz w:val="30"/>
          <w:szCs w:val="30"/>
        </w:rPr>
        <w:t>万宁市正在扎实推进生态文明建设示范区创建工作。</w:t>
      </w:r>
      <w:r>
        <w:rPr>
          <w:rFonts w:hint="eastAsia" w:asciiTheme="minorHAnsi" w:hAnsiTheme="minorHAnsi"/>
          <w:sz w:val="30"/>
          <w:szCs w:val="30"/>
          <w:shd w:val="clear" w:color="auto" w:fill="FFFFFF"/>
        </w:rPr>
        <w:t>万宁市是海南省重要的滨海旅游胜地和热带农业基地，生态资源丰富，拥有良好的生态环境，社会经济发展迅猛，是海南省最具发展潜力的地区之一</w:t>
      </w:r>
      <w:bookmarkStart w:id="1" w:name="_Hlk143414737"/>
      <w:r>
        <w:rPr>
          <w:rFonts w:hint="eastAsia" w:asciiTheme="minorHAnsi" w:hAnsiTheme="minorHAnsi"/>
          <w:sz w:val="30"/>
          <w:szCs w:val="30"/>
          <w:shd w:val="clear" w:color="auto" w:fill="FFFFFF"/>
        </w:rPr>
        <w:t>。万宁市作为先行开展的海南省综合性生态文明先行示范区试点城市，推行绿色生产生活方式，打造出海南省东部组群的生态文明示范性城市。根据国家生态文明试验区和《海南省“十四五”生态环境保护规划》的战略目标，按照海南省生态环境保护和生态文明建设工作总体部署及万宁市经济社会发展对生态文明建设的战略定位，结合万宁市生态环境现状和建设需求，</w:t>
      </w:r>
      <w:r>
        <w:rPr>
          <w:rFonts w:hint="eastAsia"/>
          <w:sz w:val="30"/>
          <w:szCs w:val="30"/>
        </w:rPr>
        <w:t>市生态环境局组织编制《万宁市生态文明建设示范区规划（202</w:t>
      </w:r>
      <w:r>
        <w:rPr>
          <w:sz w:val="30"/>
          <w:szCs w:val="30"/>
        </w:rPr>
        <w:t>3</w:t>
      </w:r>
      <w:r>
        <w:rPr>
          <w:rFonts w:hint="eastAsia"/>
          <w:sz w:val="30"/>
          <w:szCs w:val="30"/>
        </w:rPr>
        <w:t>-20</w:t>
      </w:r>
      <w:r>
        <w:rPr>
          <w:sz w:val="30"/>
          <w:szCs w:val="30"/>
        </w:rPr>
        <w:t>30</w:t>
      </w:r>
      <w:r>
        <w:rPr>
          <w:rFonts w:hint="eastAsia"/>
          <w:sz w:val="30"/>
          <w:szCs w:val="30"/>
        </w:rPr>
        <w:t>年）》</w:t>
      </w:r>
      <w:r>
        <w:rPr>
          <w:sz w:val="30"/>
          <w:szCs w:val="30"/>
        </w:rPr>
        <w:t>。</w:t>
      </w:r>
      <w:bookmarkEnd w:id="1"/>
      <w:r>
        <w:rPr>
          <w:sz w:val="30"/>
          <w:szCs w:val="30"/>
        </w:rPr>
        <w:t>本规划</w:t>
      </w:r>
      <w:r>
        <w:rPr>
          <w:rFonts w:hint="eastAsia"/>
          <w:sz w:val="30"/>
          <w:szCs w:val="30"/>
        </w:rPr>
        <w:t>编制</w:t>
      </w:r>
      <w:r>
        <w:rPr>
          <w:sz w:val="30"/>
          <w:szCs w:val="30"/>
        </w:rPr>
        <w:t>是</w:t>
      </w:r>
      <w:r>
        <w:rPr>
          <w:rFonts w:hint="eastAsia"/>
          <w:sz w:val="30"/>
          <w:szCs w:val="30"/>
        </w:rPr>
        <w:t>万宁市</w:t>
      </w:r>
      <w:r>
        <w:rPr>
          <w:sz w:val="30"/>
          <w:szCs w:val="30"/>
        </w:rPr>
        <w:t>贯彻落实党中央、国务院、海南省委省政府关于加快推进生态文明</w:t>
      </w:r>
      <w:r>
        <w:rPr>
          <w:rFonts w:hint="eastAsia"/>
          <w:sz w:val="30"/>
          <w:szCs w:val="30"/>
        </w:rPr>
        <w:t>试验区</w:t>
      </w:r>
      <w:r>
        <w:rPr>
          <w:sz w:val="30"/>
          <w:szCs w:val="30"/>
        </w:rPr>
        <w:t>建设的关键部署，指导</w:t>
      </w:r>
      <w:r>
        <w:rPr>
          <w:rFonts w:hint="eastAsia"/>
          <w:sz w:val="30"/>
          <w:szCs w:val="30"/>
        </w:rPr>
        <w:t>万宁市</w:t>
      </w:r>
      <w:r>
        <w:rPr>
          <w:sz w:val="30"/>
          <w:szCs w:val="30"/>
        </w:rPr>
        <w:t>全域</w:t>
      </w:r>
      <w:r>
        <w:rPr>
          <w:rFonts w:hint="eastAsia"/>
          <w:sz w:val="30"/>
          <w:szCs w:val="30"/>
        </w:rPr>
        <w:t>国家</w:t>
      </w:r>
      <w:r>
        <w:rPr>
          <w:sz w:val="30"/>
          <w:szCs w:val="30"/>
        </w:rPr>
        <w:t>生态文明</w:t>
      </w:r>
      <w:r>
        <w:rPr>
          <w:rFonts w:hint="eastAsia"/>
          <w:sz w:val="30"/>
          <w:szCs w:val="30"/>
        </w:rPr>
        <w:t>建设</w:t>
      </w:r>
      <w:r>
        <w:rPr>
          <w:sz w:val="30"/>
          <w:szCs w:val="30"/>
        </w:rPr>
        <w:t>示范区创建工作</w:t>
      </w:r>
      <w:r>
        <w:rPr>
          <w:rFonts w:hint="eastAsia"/>
          <w:sz w:val="30"/>
          <w:szCs w:val="30"/>
        </w:rPr>
        <w:t>的重要依据</w:t>
      </w:r>
      <w:r>
        <w:rPr>
          <w:sz w:val="30"/>
          <w:szCs w:val="30"/>
        </w:rPr>
        <w:t>。</w:t>
      </w:r>
    </w:p>
    <w:p>
      <w:pPr>
        <w:widowControl/>
        <w:adjustRightInd/>
        <w:snapToGrid/>
        <w:spacing w:line="240" w:lineRule="auto"/>
        <w:ind w:firstLine="0" w:firstLineChars="0"/>
        <w:jc w:val="left"/>
      </w:pPr>
    </w:p>
    <w:p>
      <w:pPr>
        <w:widowControl/>
        <w:adjustRightInd/>
        <w:snapToGrid/>
        <w:spacing w:line="240" w:lineRule="auto"/>
        <w:ind w:firstLine="0" w:firstLineChars="0"/>
        <w:jc w:val="left"/>
        <w:rPr>
          <w:b/>
          <w:bCs/>
        </w:rPr>
        <w:sectPr>
          <w:footerReference r:id="rId11" w:type="default"/>
          <w:pgSz w:w="11906" w:h="16838"/>
          <w:pgMar w:top="1440" w:right="1800" w:bottom="1440" w:left="1800" w:header="851" w:footer="992" w:gutter="0"/>
          <w:pgNumType w:fmt="upperRoman" w:start="1"/>
          <w:cols w:space="425" w:num="1"/>
          <w:docGrid w:type="lines" w:linePitch="312" w:charSpace="0"/>
        </w:sectPr>
      </w:pPr>
      <w:r>
        <w:rPr>
          <w:b/>
          <w:bCs/>
        </w:rPr>
        <w:br w:type="page"/>
      </w:r>
    </w:p>
    <w:p>
      <w:pPr>
        <w:pStyle w:val="2"/>
      </w:pPr>
      <w:bookmarkStart w:id="2" w:name="_Toc152148691"/>
      <w:r>
        <w:rPr>
          <w:rFonts w:hint="eastAsia"/>
        </w:rPr>
        <w:t>1</w:t>
      </w:r>
      <w:r>
        <w:t xml:space="preserve">. </w:t>
      </w:r>
      <w:r>
        <w:rPr>
          <w:rFonts w:hint="eastAsia"/>
        </w:rPr>
        <w:t>工作基础与形势分析</w:t>
      </w:r>
      <w:bookmarkEnd w:id="2"/>
    </w:p>
    <w:p>
      <w:pPr>
        <w:pStyle w:val="3"/>
      </w:pPr>
      <w:bookmarkStart w:id="3" w:name="_Toc152148692"/>
      <w:r>
        <w:rPr>
          <w:rFonts w:hint="eastAsia"/>
        </w:rPr>
        <w:t>1</w:t>
      </w:r>
      <w:r>
        <w:t>.1 建设基础</w:t>
      </w:r>
      <w:bookmarkEnd w:id="3"/>
    </w:p>
    <w:p>
      <w:pPr>
        <w:pStyle w:val="4"/>
      </w:pPr>
      <w:bookmarkStart w:id="4" w:name="_Toc152148693"/>
      <w:r>
        <w:rPr>
          <w:rFonts w:hint="eastAsia"/>
        </w:rPr>
        <w:t>1</w:t>
      </w:r>
      <w:r>
        <w:t>.1</w:t>
      </w:r>
      <w:r>
        <w:rPr>
          <w:rFonts w:hint="eastAsia"/>
        </w:rPr>
        <w:t>.</w:t>
      </w:r>
      <w:r>
        <w:t xml:space="preserve">1 </w:t>
      </w:r>
      <w:r>
        <w:rPr>
          <w:rFonts w:hint="eastAsia"/>
        </w:rPr>
        <w:t>区域特征</w:t>
      </w:r>
      <w:bookmarkEnd w:id="4"/>
    </w:p>
    <w:p>
      <w:pPr>
        <w:pStyle w:val="5"/>
      </w:pPr>
      <w:r>
        <w:t xml:space="preserve">1.1.1.1 </w:t>
      </w:r>
      <w:r>
        <w:rPr>
          <w:rFonts w:hint="eastAsia"/>
        </w:rPr>
        <w:t>自然资源</w:t>
      </w:r>
    </w:p>
    <w:p>
      <w:pPr>
        <w:ind w:firstLine="560"/>
      </w:pPr>
      <w:r>
        <w:rPr>
          <w:rFonts w:hint="eastAsia"/>
        </w:rPr>
        <w:t>万宁市位于海南岛东南部沿海，市政府驻万城镇。陆地面积1904.17平方公里，海域面积2783.42平方公里，海岸线长109公里。现辖12个镇（含农垦改革后新设立5个居）、1个国营林场、1个华侨旅游经济区，共有207个行政村（社区），全市总人口约64万。万宁市历史悠久，物产丰富，文化底蕴深厚，素有“世界长寿之乡、世界冲浪胜地、中国槟榔之乡、中国书法之乡、中国武术之乡”等美誉。</w:t>
      </w:r>
    </w:p>
    <w:p>
      <w:pPr>
        <w:ind w:firstLine="560"/>
      </w:pPr>
      <w:r>
        <w:rPr>
          <w:rFonts w:hint="eastAsia"/>
        </w:rPr>
        <w:t>万宁市地处热带和亚热带的交界处，属热带海洋性季风气候，生态优良，气候宜人，年平均气温24.8℃。109公里的海岸线上有10多个风景秀丽的优质海湾、2个神奇的内海、7个风光旖旎的岛屿和半岛，盛产带鱼、马鲛鱼、金枪鱼、鱿鱼等优质鱼类。矿产资源主要有钛、锆、独居石、金红石、石英石等，其中钛矿贮量占全省70%以上，占全国的一半。热作资源有菠萝、胡椒、槟榔、橡胶、咖啡、可可等。1600多个南药品种中，161个品种被列入全国重点中药资源普查品种，占海南省列入全国重点中药资源普查品种的80%左右，被誉为“南国天然药库”。</w:t>
      </w:r>
    </w:p>
    <w:p>
      <w:pPr>
        <w:pStyle w:val="5"/>
      </w:pPr>
      <w:r>
        <w:rPr>
          <w:rFonts w:hint="eastAsia"/>
        </w:rPr>
        <w:t>1</w:t>
      </w:r>
      <w:r>
        <w:t xml:space="preserve">.1.1.2 </w:t>
      </w:r>
      <w:r>
        <w:rPr>
          <w:rFonts w:hint="eastAsia"/>
        </w:rPr>
        <w:t>国民经济和社会发展</w:t>
      </w:r>
    </w:p>
    <w:p>
      <w:pPr>
        <w:ind w:firstLine="560"/>
      </w:pPr>
      <w:r>
        <w:t>1</w:t>
      </w:r>
      <w:r>
        <w:rPr>
          <w:rFonts w:hint="eastAsia"/>
        </w:rPr>
        <w:t>、综合</w:t>
      </w:r>
    </w:p>
    <w:p>
      <w:pPr>
        <w:ind w:firstLine="560"/>
      </w:pPr>
      <w:r>
        <w:rPr>
          <w:rFonts w:hint="eastAsia"/>
        </w:rPr>
        <w:t>2022年全市地区生产总值（GDP）298.7</w:t>
      </w:r>
      <w:r>
        <w:t>5</w:t>
      </w:r>
      <w:r>
        <w:rPr>
          <w:rFonts w:hint="eastAsia"/>
        </w:rPr>
        <w:t>亿元，按可比价格计算（下同），同比增长2.4%。其中，第一产业增加值95.42亿元，同比增长4.5%；第二产业增加值74.92亿元，同比增长7.5%，其中，工业增加值26.27亿元，同比增长15.5%，建筑业增加值48.64亿元，同比增长4.3%；第三产业增加值128.41亿元，同比下降1.4%。三次产业结构为31.9：25.1：43.0。2022年末全市户籍总人口625098人。按地区分，城镇人口308409人，乡村人口316689人。</w:t>
      </w:r>
    </w:p>
    <w:p>
      <w:pPr>
        <w:ind w:firstLine="560"/>
      </w:pPr>
      <w:r>
        <w:t>2</w:t>
      </w:r>
      <w:r>
        <w:rPr>
          <w:rFonts w:hint="eastAsia"/>
        </w:rPr>
        <w:t>、农林牧渔业</w:t>
      </w:r>
    </w:p>
    <w:p>
      <w:pPr>
        <w:ind w:firstLine="560"/>
      </w:pPr>
      <w:r>
        <w:rPr>
          <w:rFonts w:hint="eastAsia"/>
        </w:rPr>
        <w:t>全年全市农林牧渔业增加值95.42亿元，同比增长4.5%。主要农产品产量：粮食总产量10.38万吨，增长0.37%；水果总产量31.39万吨，增长13.2%；蔬菜总产量49.79万吨，增长9.0%；肉类总产量4.54万吨，增长14.6%。生猪出栏量25.45万头，增长13.2%。水产品产量8.3万吨，增长10.68%。农用化肥施用量（折纯）2.62万吨，比上年下降5.4%。农田水利有效灌溉面积18.91万亩，增长5.61%。</w:t>
      </w:r>
    </w:p>
    <w:p>
      <w:pPr>
        <w:ind w:firstLine="560"/>
      </w:pPr>
      <w:r>
        <w:t>3</w:t>
      </w:r>
      <w:r>
        <w:rPr>
          <w:rFonts w:hint="eastAsia"/>
        </w:rPr>
        <w:t>、工业和建筑业</w:t>
      </w:r>
    </w:p>
    <w:p>
      <w:pPr>
        <w:ind w:firstLine="560"/>
      </w:pPr>
      <w:r>
        <w:rPr>
          <w:rFonts w:hint="eastAsia"/>
        </w:rPr>
        <w:t>全年全市工业增加值26.27亿元，同比增长15.5%。规模以上工业增加值增长20.7%。全年全市建筑业增加值48.64亿元，同比增长4.3%。本市具有资质等级的建筑企业单位2个，从业人员707人。万宁市资质内建筑企业全年房屋建筑施工面积10.09万平方米，下降60.2%。</w:t>
      </w:r>
    </w:p>
    <w:p>
      <w:pPr>
        <w:ind w:firstLine="560"/>
      </w:pPr>
      <w:r>
        <w:t>4</w:t>
      </w:r>
      <w:r>
        <w:rPr>
          <w:rFonts w:hint="eastAsia"/>
        </w:rPr>
        <w:t>、住宿餐饮业</w:t>
      </w:r>
    </w:p>
    <w:p>
      <w:pPr>
        <w:ind w:firstLine="560"/>
      </w:pPr>
      <w:r>
        <w:rPr>
          <w:rFonts w:hint="eastAsia"/>
        </w:rPr>
        <w:t>2</w:t>
      </w:r>
      <w:r>
        <w:t>022</w:t>
      </w:r>
      <w:r>
        <w:rPr>
          <w:rFonts w:hint="eastAsia"/>
        </w:rPr>
        <w:t>年全市住宿和餐饮业增加值13.86亿元，下降11.2%。社会消费品零售总额91.31亿元，下降8.2%。</w:t>
      </w:r>
    </w:p>
    <w:p>
      <w:pPr>
        <w:ind w:firstLine="560"/>
      </w:pPr>
      <w:r>
        <w:t>5</w:t>
      </w:r>
      <w:r>
        <w:rPr>
          <w:rFonts w:hint="eastAsia"/>
        </w:rPr>
        <w:t>、财政</w:t>
      </w:r>
    </w:p>
    <w:p>
      <w:pPr>
        <w:ind w:firstLine="560"/>
      </w:pPr>
      <w:r>
        <w:rPr>
          <w:rFonts w:hint="eastAsia"/>
        </w:rPr>
        <w:t>2</w:t>
      </w:r>
      <w:r>
        <w:t>022</w:t>
      </w:r>
      <w:r>
        <w:rPr>
          <w:rFonts w:hint="eastAsia"/>
        </w:rPr>
        <w:t>年全市地方一般公共预算收入12.77亿元，同口径下降15.4%。其中：地方税收收入7.56亿元，下降23.6%；非税收入5.21亿元，增长1.8%。地方一般公共预算支出60.27亿元，同比增长28.5%。</w:t>
      </w:r>
    </w:p>
    <w:p>
      <w:pPr>
        <w:ind w:firstLine="560"/>
      </w:pPr>
      <w:r>
        <w:t>6</w:t>
      </w:r>
      <w:r>
        <w:rPr>
          <w:rFonts w:hint="eastAsia"/>
        </w:rPr>
        <w:t>、旅游</w:t>
      </w:r>
    </w:p>
    <w:p>
      <w:pPr>
        <w:ind w:firstLine="560"/>
      </w:pPr>
      <w:r>
        <w:rPr>
          <w:rFonts w:hint="eastAsia"/>
        </w:rPr>
        <w:t>2</w:t>
      </w:r>
      <w:r>
        <w:t>022</w:t>
      </w:r>
      <w:r>
        <w:rPr>
          <w:rFonts w:hint="eastAsia"/>
        </w:rPr>
        <w:t>年全市全年接待游客总数542.7</w:t>
      </w:r>
      <w:r>
        <w:t>5</w:t>
      </w:r>
      <w:r>
        <w:rPr>
          <w:rFonts w:hint="eastAsia"/>
        </w:rPr>
        <w:t>万人次，同比下降23.51%；实现旅游总收入43.63亿元，下降18.34%。其中：过夜游客291.07万人次，收入36.53亿元；一日游251.68万人次，收入7.1亿元。</w:t>
      </w:r>
    </w:p>
    <w:p>
      <w:pPr>
        <w:ind w:firstLine="560"/>
      </w:pPr>
      <w:r>
        <w:rPr>
          <w:rFonts w:hint="eastAsia"/>
        </w:rPr>
        <w:t>7、资源环境</w:t>
      </w:r>
    </w:p>
    <w:p>
      <w:pPr>
        <w:ind w:firstLine="560"/>
      </w:pPr>
      <w:r>
        <w:rPr>
          <w:rFonts w:hint="eastAsia"/>
        </w:rPr>
        <w:t>2</w:t>
      </w:r>
      <w:r>
        <w:t>022</w:t>
      </w:r>
      <w:r>
        <w:rPr>
          <w:rFonts w:hint="eastAsia"/>
        </w:rPr>
        <w:t>年全年造林绿化面积226.7公顷，列入国家一级重点保护野生动物有7种，列入国家二级重点保护野生动物有16种。列入国家一级重点保护野生植物有3种，列入国家二级重点保护野生植物有12种。</w:t>
      </w:r>
    </w:p>
    <w:p>
      <w:pPr>
        <w:pStyle w:val="4"/>
      </w:pPr>
      <w:bookmarkStart w:id="5" w:name="_Toc152148694"/>
      <w:r>
        <w:rPr>
          <w:rFonts w:hint="eastAsia"/>
        </w:rPr>
        <w:t>1</w:t>
      </w:r>
      <w:r>
        <w:t xml:space="preserve">.1.2 </w:t>
      </w:r>
      <w:r>
        <w:rPr>
          <w:rFonts w:hint="eastAsia"/>
        </w:rPr>
        <w:t>已有成效及现有工作基础</w:t>
      </w:r>
      <w:bookmarkEnd w:id="5"/>
    </w:p>
    <w:p>
      <w:pPr>
        <w:ind w:firstLine="560"/>
      </w:pPr>
      <w:r>
        <w:rPr>
          <w:rFonts w:hint="eastAsia"/>
        </w:rPr>
        <w:t>万宁市始终将生态文明建设置于中心工作的突出位置，坚持生态优先、绿色发展，以生态文明建设示范区为抓手，优化自然生态体系为主线，高质量推进生态文明建设各项工作，取得显著成效。</w:t>
      </w:r>
    </w:p>
    <w:p>
      <w:pPr>
        <w:ind w:firstLine="562"/>
        <w:rPr>
          <w:b/>
          <w:bCs/>
        </w:rPr>
      </w:pPr>
      <w:r>
        <w:rPr>
          <w:rFonts w:hint="eastAsia"/>
          <w:b/>
          <w:bCs/>
        </w:rPr>
        <w:t>1、生态文明制度体系加快形成</w:t>
      </w:r>
    </w:p>
    <w:p>
      <w:pPr>
        <w:ind w:firstLine="560"/>
        <w:rPr>
          <w:shd w:val="clear" w:color="auto" w:fill="FFFFFF"/>
        </w:rPr>
      </w:pPr>
      <w:r>
        <w:rPr>
          <w:rFonts w:hint="eastAsia"/>
        </w:rPr>
        <w:t>万宁市积极探索生态文明建设体制机制创新，先后颁布了</w:t>
      </w:r>
      <w:r>
        <w:rPr>
          <w:rFonts w:hint="eastAsia" w:asciiTheme="minorHAnsi" w:hAnsiTheme="minorHAnsi"/>
          <w:shd w:val="clear" w:color="auto" w:fill="FFFFFF"/>
        </w:rPr>
        <w:t>《</w:t>
      </w:r>
      <w:r>
        <w:rPr>
          <w:rFonts w:asciiTheme="minorHAnsi" w:hAnsiTheme="minorHAnsi"/>
          <w:shd w:val="clear" w:color="auto" w:fill="FFFFFF"/>
        </w:rPr>
        <w:t>万宁市生态文明建设工作要点</w:t>
      </w:r>
      <w:r>
        <w:rPr>
          <w:rFonts w:hint="eastAsia" w:asciiTheme="minorHAnsi" w:hAnsiTheme="minorHAnsi"/>
          <w:shd w:val="clear" w:color="auto" w:fill="FFFFFF"/>
        </w:rPr>
        <w:t>》《万宁市健全生态保护补偿机制实施方案》《万宁市水污染防治行动计划实施方案》等文件。不断</w:t>
      </w:r>
      <w:r>
        <w:rPr>
          <w:rFonts w:hint="eastAsia"/>
        </w:rPr>
        <w:t>健全生态保护补偿机制，</w:t>
      </w:r>
      <w:r>
        <w:rPr>
          <w:rFonts w:hint="eastAsia" w:asciiTheme="minorHAnsi" w:hAnsiTheme="minorHAnsi"/>
          <w:shd w:val="clear" w:color="auto" w:fill="FFFFFF"/>
        </w:rPr>
        <w:t>与</w:t>
      </w:r>
      <w:r>
        <w:rPr>
          <w:rFonts w:hint="eastAsia"/>
        </w:rPr>
        <w:t>琼中黎族苗族自治县人民政府签订《万泉河（牛路岭水库）流域上下游横向生态保护补偿协议》。</w:t>
      </w:r>
      <w:r>
        <w:rPr>
          <w:rFonts w:hint="eastAsia"/>
          <w:shd w:val="clear" w:color="auto" w:fill="FFFFFF"/>
        </w:rPr>
        <w:t>全面落实“河长制”“湖长制”，将“绿化宝岛”大行动与“建设滨海花园城市”有效结合，加大绿化造林力度，提升万城、神州半岛、兴隆金三角区域的通道绿化水平。深入开展红树林生态产品价值实现、探索蓝碳交易，其中小海红树林生态项目</w:t>
      </w:r>
      <w:r>
        <w:rPr>
          <w:rFonts w:hint="eastAsia"/>
        </w:rPr>
        <w:t>是海南省首个在碳普惠机制下备案的蓝碳项目，并成功应用于海南省大型活动碳中和。</w:t>
      </w:r>
    </w:p>
    <w:p>
      <w:pPr>
        <w:ind w:firstLine="562"/>
        <w:rPr>
          <w:b/>
          <w:bCs/>
        </w:rPr>
      </w:pPr>
      <w:r>
        <w:rPr>
          <w:rFonts w:hint="eastAsia"/>
          <w:b/>
          <w:bCs/>
        </w:rPr>
        <w:t>2、生态环境质量持续改善</w:t>
      </w:r>
    </w:p>
    <w:p>
      <w:pPr>
        <w:ind w:firstLine="560"/>
      </w:pPr>
      <w:r>
        <w:rPr>
          <w:rFonts w:hint="eastAsia" w:asciiTheme="minorHAnsi" w:hAnsiTheme="minorHAnsi"/>
          <w:shd w:val="clear" w:color="auto" w:fill="FFFFFF"/>
        </w:rPr>
        <w:t>万宁市持续打赢蓝天保卫战，</w:t>
      </w:r>
      <w:r>
        <w:rPr>
          <w:rFonts w:hint="eastAsia"/>
        </w:rPr>
        <w:t>城市环境空气质量优良天数比例达99.2%，年均值为12微克/立方米，与全省平均水平持平。万宁市先后印发《万宁市大气污染防治实施方案》《万宁市老旧车淘汰和污染治理实施方案》等文件，加强大气污染防治顶层设计和监督考核。巩固提升“六水共治”成效，地表水优良率93.3%，集中式饮用水源地水质达标率保持100%，近岸海域水质优良比例99.46%，完成了3条国家监管黑臭水体治理任务。加强土壤污染防治，扎实推动禁塑工作，印发《万宁市禁止生产销售使用一次性不可降解塑料制品试点工作方案》等文件，积极开展禁塑工作，推进土壤风险管控。农村环境质量状况保持优级。全市生态环境保持稳定，状况等级为优。</w:t>
      </w:r>
    </w:p>
    <w:p>
      <w:pPr>
        <w:ind w:firstLine="562"/>
        <w:rPr>
          <w:b/>
          <w:bCs/>
        </w:rPr>
      </w:pPr>
      <w:r>
        <w:rPr>
          <w:rFonts w:hint="eastAsia"/>
          <w:b/>
          <w:bCs/>
        </w:rPr>
        <w:t>3、生态经济稳步发展</w:t>
      </w:r>
    </w:p>
    <w:p>
      <w:pPr>
        <w:ind w:firstLine="560"/>
      </w:pPr>
      <w:r>
        <w:rPr>
          <w:rFonts w:hint="eastAsia"/>
        </w:rPr>
        <w:t>万宁市逐步优化工业产业结构、完善工业产业布局，构建具有万宁特色的现代化产业体系，建成一批槟榔、椰子、咖啡、南药、诺丽果深加工企业，落地实施燃气发电新能源、海建装配式建筑新材料和海南天使医检汽车等项目。不断完善槟榔产业园、礼纪新型工业产业园基础配套设施，改善产业发展环境；不断提升科技创新能力，发展高新技术企业达到5家，</w:t>
      </w:r>
      <w:bookmarkStart w:id="6" w:name="_Hlk151539299"/>
      <w:r>
        <w:rPr>
          <w:rFonts w:hint="eastAsia" w:asciiTheme="minorHAnsi" w:hAnsiTheme="minorHAnsi"/>
          <w:shd w:val="clear" w:color="auto" w:fill="FFFFFF"/>
        </w:rPr>
        <w:t>突出万宁特色抓好槟榔、橡胶、椰子“三棵树”产业发展，</w:t>
      </w:r>
      <w:r>
        <w:rPr>
          <w:rFonts w:hint="eastAsia"/>
        </w:rPr>
        <w:t>大力发展沉香（海南“第四棵树”）产业。修编《万宁市畜禽养殖禁养区划定方案》，推进畜禽粪污资源化利用，减少畜禽面源污染。加快发展生态循环农业，开展废旧农膜等农业投入品田间废弃物的回收处理，防治种植业面源污染。加快全域旅游建设，推进体旅融合、文旅融合，突出发展“海陆空”旅游产业，打造海上运动、生态观光、乡村度假、美食购物等旅游业态，举办一系列高品质体育赛事和文化演艺活动。自贸港重点项目乌场一级渔港加速推进，洲仔岛国家海洋牧场建成，工厂化海水养殖规模不断扩大，入选全省首批休闲渔业试点（市）县。</w:t>
      </w:r>
    </w:p>
    <w:bookmarkEnd w:id="6"/>
    <w:p>
      <w:pPr>
        <w:ind w:firstLine="562"/>
        <w:rPr>
          <w:b/>
          <w:bCs/>
        </w:rPr>
      </w:pPr>
      <w:r>
        <w:rPr>
          <w:rFonts w:hint="eastAsia"/>
          <w:b/>
          <w:bCs/>
        </w:rPr>
        <w:t>4、城乡面貌焕然一新</w:t>
      </w:r>
    </w:p>
    <w:p>
      <w:pPr>
        <w:ind w:firstLine="560"/>
      </w:pPr>
      <w:r>
        <w:rPr>
          <w:rFonts w:hint="eastAsia"/>
        </w:rPr>
        <w:t>万宁市不断加大城乡统筹力度，城乡相向而行、融合发展，城乡区域协调发展水平持续提升，全市常住人口城镇化率达到4</w:t>
      </w:r>
      <w:r>
        <w:t>4.3%。</w:t>
      </w:r>
      <w:r>
        <w:rPr>
          <w:rFonts w:hint="eastAsia"/>
        </w:rPr>
        <w:t>实施“三清两改一建”，完成危房改造9227户，卫生户厕所覆盖率100%，农村生活垃圾治理实现全覆盖，建成美丽乡村73个，桥南外村被命名“中国少数民族特色村寨”，兴隆华侨农场57队入选全国乡村旅游重点村，北大村、文渊村荣获“全国乡村治理示范村”称号。一批支撑万宁长远发展的重大基础设施相继竣工，万洋高速公路、太阳河大道、兴隆墟市政道路改造项目等建成通车，农村公路六大工程新增里程767公里，实现自然村硬化路村村通。新增供水管网504公里，建成农村饮水安全工程38宗，军田水厂实现供水，17.52万人喝上放心水。新建及改造城镇污水管网275公里，新增城镇污水处理厂10座和农村污水处理设施46处，城镇污水处理实现全覆盖。</w:t>
      </w:r>
    </w:p>
    <w:p>
      <w:pPr>
        <w:ind w:firstLine="562"/>
        <w:rPr>
          <w:b/>
          <w:bCs/>
        </w:rPr>
      </w:pPr>
      <w:r>
        <w:rPr>
          <w:rFonts w:hint="eastAsia"/>
          <w:b/>
          <w:bCs/>
        </w:rPr>
        <w:t>5、万宁小海流域水环境综合治理项目建设</w:t>
      </w:r>
    </w:p>
    <w:p>
      <w:pPr>
        <w:ind w:firstLine="560"/>
      </w:pPr>
      <w:r>
        <w:rPr>
          <w:rFonts w:hint="eastAsia"/>
        </w:rPr>
        <w:t>海南省万宁市小海流域水环境综合治理南汊道恢复工程总形象进度95%，海南省万宁市小海流域水环境综合治理—纳潮活海工程（港北口门拓宽）项目形象进度70%，海南省万宁市小海流域水环境综合治理—海草床修复与海藻种植工程陆域土建部分施工进度18%。万宁市小海沿岸生态修复截污项目万城镇已动工建设，工程进度98.5%，该项目覆盖万城镇小海周边9个行政村43个自然村。</w:t>
      </w:r>
    </w:p>
    <w:p>
      <w:pPr>
        <w:pStyle w:val="3"/>
      </w:pPr>
      <w:bookmarkStart w:id="7" w:name="_Toc152148695"/>
      <w:r>
        <w:rPr>
          <w:rFonts w:hint="eastAsia"/>
        </w:rPr>
        <w:t>1</w:t>
      </w:r>
      <w:r>
        <w:t>.2 存在问题与机遇挑战</w:t>
      </w:r>
      <w:bookmarkEnd w:id="7"/>
    </w:p>
    <w:p>
      <w:pPr>
        <w:pStyle w:val="4"/>
      </w:pPr>
      <w:bookmarkStart w:id="8" w:name="_Toc152148696"/>
      <w:r>
        <w:rPr>
          <w:rFonts w:hint="eastAsia"/>
        </w:rPr>
        <w:t>1</w:t>
      </w:r>
      <w:r>
        <w:t xml:space="preserve">.2.1 </w:t>
      </w:r>
      <w:r>
        <w:rPr>
          <w:rFonts w:hint="eastAsia"/>
        </w:rPr>
        <w:t>存在问题</w:t>
      </w:r>
      <w:bookmarkEnd w:id="8"/>
    </w:p>
    <w:p>
      <w:pPr>
        <w:ind w:firstLine="562"/>
        <w:rPr>
          <w:b/>
          <w:bCs/>
          <w:shd w:val="clear" w:color="auto" w:fill="FFFFFF"/>
        </w:rPr>
      </w:pPr>
      <w:r>
        <w:rPr>
          <w:b/>
          <w:bCs/>
          <w:shd w:val="clear" w:color="auto" w:fill="FFFFFF"/>
        </w:rPr>
        <w:t>1</w:t>
      </w:r>
      <w:r>
        <w:rPr>
          <w:rFonts w:hint="eastAsia"/>
          <w:b/>
          <w:bCs/>
          <w:shd w:val="clear" w:color="auto" w:fill="FFFFFF"/>
        </w:rPr>
        <w:t>、环保基础设施建设相对滞后</w:t>
      </w:r>
    </w:p>
    <w:p>
      <w:pPr>
        <w:ind w:firstLine="560"/>
        <w:rPr>
          <w:b/>
          <w:bCs/>
          <w:shd w:val="clear" w:color="auto" w:fill="FFFFFF"/>
        </w:rPr>
      </w:pPr>
      <w:r>
        <w:rPr>
          <w:rFonts w:hint="eastAsia" w:asciiTheme="minorHAnsi" w:hAnsiTheme="minorHAnsi"/>
          <w:shd w:val="clear" w:color="auto" w:fill="FFFFFF"/>
        </w:rPr>
        <w:t>生态环境基础设施相对滞后于城市发展，城镇污水处理厂新建和改造工程进展较慢，部分市政污水管网配套工程覆盖面仍存在</w:t>
      </w:r>
      <w:r>
        <w:rPr>
          <w:rFonts w:hint="eastAsia" w:ascii="仿宋_GB2312" w:hAnsiTheme="minorHAnsi"/>
          <w:shd w:val="clear" w:color="auto" w:fill="FFFFFF"/>
        </w:rPr>
        <w:t>缺口，管网纳污能力不足、管网老化破损较多、</w:t>
      </w:r>
      <w:bookmarkStart w:id="9" w:name="dttl"/>
      <w:r>
        <w:rPr>
          <w:rFonts w:hint="eastAsia" w:ascii="仿宋_GB2312" w:hAnsiTheme="minorHAnsi"/>
          <w:shd w:val="clear" w:color="auto" w:fill="FFFFFF"/>
        </w:rPr>
        <w:fldChar w:fldCharType="begin"/>
      </w:r>
      <w:r>
        <w:rPr>
          <w:rFonts w:hint="eastAsia" w:ascii="仿宋_GB2312" w:hAnsiTheme="minorHAnsi"/>
          <w:shd w:val="clear" w:color="auto" w:fill="FFFFFF"/>
        </w:rPr>
        <w:instrText xml:space="preserve"> HYPERLINK "https://www.sogou.com/link?url=hedJjaC291PpP0LsqQrO3lKaA-qsHOrpIwaH4Qqz_kRF84SMRJwJ3w.." \t "_blank" </w:instrText>
      </w:r>
      <w:r>
        <w:rPr>
          <w:rFonts w:hint="eastAsia" w:ascii="仿宋_GB2312" w:hAnsiTheme="minorHAnsi"/>
          <w:shd w:val="clear" w:color="auto" w:fill="FFFFFF"/>
        </w:rPr>
        <w:fldChar w:fldCharType="separate"/>
      </w:r>
      <w:r>
        <w:rPr>
          <w:rFonts w:hint="eastAsia" w:ascii="仿宋_GB2312" w:hAnsiTheme="minorHAnsi"/>
          <w:shd w:val="clear" w:color="auto" w:fill="FFFFFF"/>
        </w:rPr>
        <w:t>市政管网污水外溢</w:t>
      </w:r>
      <w:r>
        <w:rPr>
          <w:rFonts w:hint="eastAsia" w:ascii="仿宋_GB2312" w:hAnsiTheme="minorHAnsi"/>
          <w:shd w:val="clear" w:color="auto" w:fill="FFFFFF"/>
        </w:rPr>
        <w:fldChar w:fldCharType="end"/>
      </w:r>
      <w:bookmarkEnd w:id="9"/>
      <w:r>
        <w:rPr>
          <w:rFonts w:hint="eastAsia" w:ascii="仿宋_GB2312" w:hAnsiTheme="minorHAnsi"/>
          <w:shd w:val="clear" w:color="auto" w:fill="FFFFFF"/>
        </w:rPr>
        <w:t>等问题较突出，污水处理厂进水浓度底和运行负荷低等问题依然存在。农村生活污水处理设施覆盖率偏低，覆盖面不足，农村黑臭水体整治力度有待加强。农业面源污染防治和规模养殖场粪污资源化利用设施不足。污泥处理厂、厨余垃圾处理厂、</w:t>
      </w:r>
      <w:r>
        <w:rPr>
          <w:rFonts w:hint="eastAsia" w:asciiTheme="minorHAnsi" w:hAnsiTheme="minorHAnsi"/>
          <w:shd w:val="clear" w:color="auto" w:fill="FFFFFF"/>
        </w:rPr>
        <w:t>建筑垃圾处理</w:t>
      </w:r>
      <w:r>
        <w:rPr>
          <w:rFonts w:hint="eastAsia" w:ascii="仿宋_GB2312" w:hAnsiTheme="minorHAnsi"/>
          <w:shd w:val="clear" w:color="auto" w:fill="FFFFFF"/>
        </w:rPr>
        <w:t>厂</w:t>
      </w:r>
      <w:r>
        <w:rPr>
          <w:rFonts w:hint="eastAsia" w:asciiTheme="minorHAnsi" w:hAnsiTheme="minorHAnsi"/>
          <w:shd w:val="clear" w:color="auto" w:fill="FFFFFF"/>
        </w:rPr>
        <w:t>等环保基础设施还未成熟</w:t>
      </w:r>
      <w:r>
        <w:rPr>
          <w:rFonts w:asciiTheme="minorHAnsi" w:hAnsiTheme="minorHAnsi"/>
          <w:shd w:val="clear" w:color="auto" w:fill="FFFFFF"/>
        </w:rPr>
        <w:t>。</w:t>
      </w:r>
    </w:p>
    <w:p>
      <w:pPr>
        <w:ind w:firstLine="562"/>
        <w:rPr>
          <w:b/>
          <w:bCs/>
          <w:shd w:val="clear" w:color="auto" w:fill="FFFFFF"/>
        </w:rPr>
      </w:pPr>
      <w:r>
        <w:rPr>
          <w:rFonts w:hint="eastAsia"/>
          <w:b/>
          <w:bCs/>
          <w:shd w:val="clear" w:color="auto" w:fill="FFFFFF"/>
        </w:rPr>
        <w:t>2、环境质量持续改善面临一定压力</w:t>
      </w:r>
    </w:p>
    <w:p>
      <w:pPr>
        <w:ind w:firstLine="560"/>
        <w:rPr>
          <w:shd w:val="clear" w:color="auto" w:fill="FFFFFF"/>
        </w:rPr>
      </w:pPr>
      <w:r>
        <w:rPr>
          <w:rFonts w:hint="eastAsia"/>
          <w:shd w:val="clear" w:color="auto" w:fill="FFFFFF"/>
        </w:rPr>
        <w:t>近3年万宁市环境空气质量优良率分别为9</w:t>
      </w:r>
      <w:r>
        <w:rPr>
          <w:shd w:val="clear" w:color="auto" w:fill="FFFFFF"/>
        </w:rPr>
        <w:t>9</w:t>
      </w:r>
      <w:r>
        <w:rPr>
          <w:rFonts w:hint="eastAsia"/>
          <w:shd w:val="clear" w:color="auto" w:fill="FFFFFF"/>
        </w:rPr>
        <w:t>.</w:t>
      </w:r>
      <w:r>
        <w:rPr>
          <w:shd w:val="clear" w:color="auto" w:fill="FFFFFF"/>
        </w:rPr>
        <w:t>4</w:t>
      </w:r>
      <w:r>
        <w:rPr>
          <w:rFonts w:hint="eastAsia"/>
          <w:shd w:val="clear" w:color="auto" w:fill="FFFFFF"/>
        </w:rPr>
        <w:t>%、98.</w:t>
      </w:r>
      <w:r>
        <w:rPr>
          <w:shd w:val="clear" w:color="auto" w:fill="FFFFFF"/>
        </w:rPr>
        <w:t>9</w:t>
      </w:r>
      <w:r>
        <w:rPr>
          <w:rFonts w:hint="eastAsia"/>
          <w:shd w:val="clear" w:color="auto" w:fill="FFFFFF"/>
        </w:rPr>
        <w:t>%、99.</w:t>
      </w:r>
      <w:r>
        <w:rPr>
          <w:shd w:val="clear" w:color="auto" w:fill="FFFFFF"/>
        </w:rPr>
        <w:t>2</w:t>
      </w:r>
      <w:r>
        <w:rPr>
          <w:rFonts w:hint="eastAsia"/>
          <w:shd w:val="clear" w:color="auto" w:fill="FFFFFF"/>
        </w:rPr>
        <w:t>%，其中2</w:t>
      </w:r>
      <w:r>
        <w:rPr>
          <w:shd w:val="clear" w:color="auto" w:fill="FFFFFF"/>
        </w:rPr>
        <w:t>021</w:t>
      </w:r>
      <w:r>
        <w:rPr>
          <w:rFonts w:hint="eastAsia"/>
          <w:shd w:val="clear" w:color="auto" w:fill="FFFFFF"/>
        </w:rPr>
        <w:t>年轻度污染天数4</w:t>
      </w:r>
      <w:r>
        <w:rPr>
          <w:rFonts w:hint="eastAsia"/>
        </w:rPr>
        <w:t>天，占比1.1%，大气首要污染物为臭氧、PM</w:t>
      </w:r>
      <w:r>
        <w:rPr>
          <w:rFonts w:hint="eastAsia"/>
          <w:vertAlign w:val="subscript"/>
        </w:rPr>
        <w:t>10</w:t>
      </w:r>
      <w:r>
        <w:rPr>
          <w:rFonts w:hint="eastAsia"/>
        </w:rPr>
        <w:t>和PM</w:t>
      </w:r>
      <w:r>
        <w:rPr>
          <w:rFonts w:hint="eastAsia"/>
          <w:vertAlign w:val="subscript"/>
        </w:rPr>
        <w:t>2.5</w:t>
      </w:r>
      <w:r>
        <w:rPr>
          <w:rFonts w:hint="eastAsia"/>
        </w:rPr>
        <w:t>，环境空气质量仍存在提升空间。断面水质保优压力大，“六水共治”以来，水质总体逐年改善，但东山河部分断面水质已达到国家、省政府考核目标要求的IV类水质类别，但未达到优良水质类别（Ⅰ~Ⅲ类），现状为轻度污染，超标因子为溶解氧，超标原因为生活污水和养殖废水未经处理直接或间接排入河流水体。</w:t>
      </w:r>
      <w:r>
        <w:rPr>
          <w:rFonts w:hint="eastAsia"/>
          <w:shd w:val="clear" w:color="auto" w:fill="FFFFFF"/>
        </w:rPr>
        <w:t>近岸海域生态环境污染防治压力较大，小海水质为三类（一般），超标因子为化学需氧量，老爷海水质为劣四类（极差），超标因子为活性磷酸盐。内海澙湖水质较差的主要原因：一是受入海河流水质、封闭海湾自身潮汐能力较弱、内海外海水体交换流动不畅、水体自净能力降低等因素影响；二是内海周边镇墟、村庄生活污水直排入海；三是内海沿岸水养殖产生的养殖废水、废弃物对内海水质影响极大。</w:t>
      </w:r>
    </w:p>
    <w:p>
      <w:pPr>
        <w:pStyle w:val="4"/>
      </w:pPr>
      <w:bookmarkStart w:id="10" w:name="_Toc152148697"/>
      <w:r>
        <w:rPr>
          <w:rFonts w:hint="eastAsia"/>
        </w:rPr>
        <w:t>1</w:t>
      </w:r>
      <w:r>
        <w:t xml:space="preserve">.2.2 </w:t>
      </w:r>
      <w:r>
        <w:rPr>
          <w:rFonts w:hint="eastAsia"/>
        </w:rPr>
        <w:t>机遇与挑战</w:t>
      </w:r>
      <w:bookmarkEnd w:id="10"/>
    </w:p>
    <w:p>
      <w:pPr>
        <w:pStyle w:val="5"/>
      </w:pPr>
      <w:r>
        <w:t xml:space="preserve">1.2.2.1 </w:t>
      </w:r>
      <w:r>
        <w:rPr>
          <w:rFonts w:hint="eastAsia"/>
        </w:rPr>
        <w:t>机遇</w:t>
      </w:r>
    </w:p>
    <w:p>
      <w:pPr>
        <w:ind w:firstLine="562"/>
        <w:rPr>
          <w:b/>
          <w:bCs/>
        </w:rPr>
      </w:pPr>
      <w:r>
        <w:rPr>
          <w:b/>
          <w:bCs/>
        </w:rPr>
        <w:t>1</w:t>
      </w:r>
      <w:r>
        <w:rPr>
          <w:rFonts w:hint="eastAsia"/>
          <w:b/>
          <w:bCs/>
        </w:rPr>
        <w:t>、国家层面</w:t>
      </w:r>
    </w:p>
    <w:p>
      <w:pPr>
        <w:ind w:firstLine="560"/>
      </w:pPr>
      <w:r>
        <w:rPr>
          <w:rFonts w:hint="eastAsia" w:asciiTheme="minorHAnsi" w:hAnsiTheme="minorHAnsi"/>
          <w:shd w:val="clear" w:color="auto" w:fill="FFFFFF"/>
        </w:rPr>
        <w:t>党的二十大提出推动绿色发展，必须牢固树立和践行“绿水青山就是金山银山”的理念，推进生态优先、节约集约、绿色低碳发展，构建以持续改善生态环境质量为导向的现代化环境治理体系，推进生态环境保护机制体制改革。</w:t>
      </w:r>
      <w:r>
        <w:rPr>
          <w:rFonts w:hint="eastAsia"/>
        </w:rPr>
        <w:t>2</w:t>
      </w:r>
      <w:r>
        <w:t>023年</w:t>
      </w:r>
      <w:r>
        <w:rPr>
          <w:rFonts w:hint="eastAsia"/>
        </w:rPr>
        <w:t>7</w:t>
      </w:r>
      <w:r>
        <w:t>月</w:t>
      </w:r>
      <w:r>
        <w:rPr>
          <w:rFonts w:hint="eastAsia"/>
        </w:rPr>
        <w:t>，习近平总书记在全国生态环境保护大会上强调，全面推进美丽中国建设，加快推进人与自然和谐共生的现代化。国家大力推进生态文明建设，为</w:t>
      </w:r>
      <w:r>
        <w:rPr>
          <w:rFonts w:hint="eastAsia" w:asciiTheme="minorHAnsi" w:hAnsiTheme="minorHAnsi"/>
          <w:shd w:val="clear" w:color="auto" w:fill="FFFFFF"/>
        </w:rPr>
        <w:t>万宁市生态文明建设示范区创建工作提供了方向指引和行动指南，有利于万宁市加快补齐生态环境短板，深入打好污染防治战，解决好人民群众感受最直观、反映最强烈的突出环境问题。</w:t>
      </w:r>
    </w:p>
    <w:p>
      <w:pPr>
        <w:ind w:firstLine="562"/>
        <w:rPr>
          <w:b/>
          <w:bCs/>
        </w:rPr>
      </w:pPr>
      <w:r>
        <w:rPr>
          <w:rFonts w:hint="eastAsia"/>
          <w:b/>
          <w:bCs/>
        </w:rPr>
        <w:t>2、省级层面</w:t>
      </w:r>
    </w:p>
    <w:p>
      <w:pPr>
        <w:ind w:firstLine="560"/>
        <w:rPr>
          <w:rFonts w:asciiTheme="minorHAnsi" w:hAnsiTheme="minorHAnsi"/>
          <w:shd w:val="clear" w:color="auto" w:fill="FFFFFF"/>
        </w:rPr>
      </w:pPr>
      <w:r>
        <w:rPr>
          <w:rFonts w:hint="eastAsia"/>
        </w:rPr>
        <w:t>海南省国家生态文明试验区建设为万宁市绿色低碳转型提供了新机遇。《海南省“十四五”生态环境保护规划》指出，“十四五”时期海南省要打造“生态文明建设样板区”“绿色低碳循环发展先行区”“生态环境质量标杆区”“陆海统筹保护发展实践区”“两山转化实践试验区”“生态环境治理能力现代化示范区”的总体战略定位目标。同时，</w:t>
      </w:r>
      <w:r>
        <w:rPr>
          <w:rFonts w:hint="eastAsia" w:asciiTheme="minorHAnsi" w:hAnsiTheme="minorHAnsi"/>
          <w:shd w:val="clear" w:color="auto" w:fill="FFFFFF"/>
        </w:rPr>
        <w:t>海南省加快实现碳排放达峰等行动计划，有助于万宁市在“十四五”时期抓住应对气候变化的形势机遇，以减污降碳为总抓手，加强碳减排与污染协同治理，持续改善生态环境质量，</w:t>
      </w:r>
      <w:r>
        <w:rPr>
          <w:rFonts w:hint="eastAsia" w:ascii="宋体" w:hAnsi="宋体"/>
          <w:szCs w:val="28"/>
        </w:rPr>
        <w:t>为万宁市创建生态文明建设示范区提供良好的契机。</w:t>
      </w:r>
    </w:p>
    <w:p>
      <w:pPr>
        <w:ind w:firstLine="562"/>
        <w:rPr>
          <w:b/>
          <w:bCs/>
        </w:rPr>
      </w:pPr>
      <w:r>
        <w:rPr>
          <w:rFonts w:hint="eastAsia"/>
          <w:b/>
          <w:bCs/>
        </w:rPr>
        <w:t>3、市级层面</w:t>
      </w:r>
    </w:p>
    <w:p>
      <w:pPr>
        <w:ind w:firstLine="560"/>
        <w:rPr>
          <w:rFonts w:asciiTheme="minorHAnsi" w:hAnsiTheme="minorHAnsi"/>
          <w:shd w:val="clear" w:color="auto" w:fill="FFFFFF"/>
        </w:rPr>
      </w:pPr>
      <w:r>
        <w:rPr>
          <w:rFonts w:hint="eastAsia" w:asciiTheme="minorHAnsi" w:hAnsiTheme="minorHAnsi"/>
          <w:shd w:val="clear" w:color="auto" w:fill="FFFFFF"/>
        </w:rPr>
        <w:t>海南自由贸易港建设将万宁定位为“</w:t>
      </w:r>
      <w:r>
        <w:rPr>
          <w:rFonts w:asciiTheme="minorHAnsi" w:hAnsiTheme="minorHAnsi"/>
          <w:shd w:val="clear" w:color="auto" w:fill="FFFFFF"/>
        </w:rPr>
        <w:t>热带农产品深加工基地、国际旅游消费目的地、新型工业化和海洋经济示范区</w:t>
      </w:r>
      <w:r>
        <w:rPr>
          <w:rFonts w:hint="eastAsia" w:asciiTheme="minorHAnsi" w:hAnsiTheme="minorHAnsi"/>
          <w:shd w:val="clear" w:color="auto" w:fill="FFFFFF"/>
        </w:rPr>
        <w:t>”。“十四五”时期万宁将大力发展槟榔、东山羊、咖啡、沉香、冲浪、新型建材、海洋经济、诺丽等产业，八大产业发展同当地生态环境保护将形成良性互动，有助于探索适合万宁市的绿色低碳可持续经济发展模式，实现经济社会发展与生态环境保护“双赢”。万宁市锚定“生态文明建设走在全省前列”的总目标，落实海南省生态文明建设和生态环境保护“六区”战略定位建设，发挥地方首创精神，着力打造“生态文明建设示范区”“陆海统筹保护发展实践区”“‘绿水青山就是金山银</w:t>
      </w:r>
      <w:r>
        <w:rPr>
          <w:rFonts w:hint="eastAsia" w:asciiTheme="minorHAnsi" w:hAnsiTheme="minorHAnsi"/>
          <w:shd w:val="clear" w:color="auto" w:fill="FFFFFF"/>
          <w:lang w:eastAsia="zh-CN"/>
        </w:rPr>
        <w:t>山</w:t>
      </w:r>
      <w:r>
        <w:rPr>
          <w:rFonts w:hint="eastAsia" w:asciiTheme="minorHAnsi" w:hAnsiTheme="minorHAnsi"/>
          <w:shd w:val="clear" w:color="auto" w:fill="FFFFFF"/>
        </w:rPr>
        <w:t>’转化实践试验区”，在全省生态文明建设中贡献万宁智慧和力量。</w:t>
      </w:r>
    </w:p>
    <w:p>
      <w:pPr>
        <w:pStyle w:val="5"/>
      </w:pPr>
      <w:r>
        <w:rPr>
          <w:rFonts w:hint="eastAsia"/>
        </w:rPr>
        <w:t>1</w:t>
      </w:r>
      <w:r>
        <w:t xml:space="preserve">.2.2.2 </w:t>
      </w:r>
      <w:r>
        <w:rPr>
          <w:rFonts w:hint="eastAsia"/>
        </w:rPr>
        <w:t>挑战</w:t>
      </w:r>
    </w:p>
    <w:p>
      <w:pPr>
        <w:ind w:firstLine="562"/>
        <w:rPr>
          <w:b/>
          <w:bCs/>
        </w:rPr>
      </w:pPr>
      <w:r>
        <w:rPr>
          <w:rFonts w:hint="eastAsia"/>
          <w:b/>
          <w:bCs/>
        </w:rPr>
        <w:t>1、国际自贸港建设下绿色发展动能仍需持续提升</w:t>
      </w:r>
    </w:p>
    <w:p>
      <w:pPr>
        <w:ind w:firstLine="560"/>
        <w:rPr>
          <w:rFonts w:asciiTheme="minorHAnsi" w:hAnsiTheme="minorHAnsi"/>
          <w:shd w:val="clear" w:color="auto" w:fill="FFFFFF"/>
        </w:rPr>
      </w:pPr>
      <w:r>
        <w:rPr>
          <w:rFonts w:hint="eastAsia"/>
        </w:rPr>
        <w:t>万宁市以建设滨海花园城市和清新度假胜地为发展目标，明确滨海旅游度假胜地、热带高效农业示范区、生态文明示范区等战略地位，确立绿色崛起生态结构。</w:t>
      </w:r>
      <w:r>
        <w:rPr>
          <w:rFonts w:hint="eastAsia" w:asciiTheme="minorHAnsi" w:hAnsiTheme="minorHAnsi"/>
          <w:shd w:val="clear" w:color="auto" w:fill="FFFFFF"/>
        </w:rPr>
        <w:t>当前万宁市仍以热作农业、手工业、旅游业为主导，金融、文创、信息等高端服务业相对滞后，企业规模相对较小，创新转型能力不强，相关产业做大做强仍然面临挑战。面向“生态环境质量、资源利用效率两个领先”的目标要求，万宁市一方面要解决生态环境领域存在的突出问题，另一方面要应对经济发展带来的能耗、水耗、污染物排放增量导致生态环境压力保持高位的挑战。如何统筹补短板和推进社会经济绿色循环发展是万宁市创建生态文明建设示范区需要重点谋划解决的问题。</w:t>
      </w:r>
    </w:p>
    <w:p>
      <w:pPr>
        <w:ind w:firstLine="562"/>
        <w:rPr>
          <w:b/>
          <w:bCs/>
        </w:rPr>
      </w:pPr>
      <w:r>
        <w:rPr>
          <w:rFonts w:hint="eastAsia"/>
          <w:b/>
          <w:bCs/>
        </w:rPr>
        <w:t>2、生态环境质量水平仍需持续提升</w:t>
      </w:r>
    </w:p>
    <w:p>
      <w:pPr>
        <w:ind w:firstLine="560"/>
      </w:pPr>
      <w:r>
        <w:rPr>
          <w:rFonts w:hint="eastAsia"/>
        </w:rPr>
        <w:t>万宁市是国家首批生态文明先行示范区。生态文明建设示范区要求建立陆海统筹保护的生态环境治理机制，建立完善环境保护机制体制，筑牢万宁绿色生态屏障。目前，万宁市部分城市内河湖遭受污染，个别地表水监测断面不能稳定达标，潟湖水质恶化，</w:t>
      </w:r>
      <w:r>
        <w:rPr>
          <w:rFonts w:hint="eastAsia" w:asciiTheme="minorHAnsi" w:hAnsiTheme="minorHAnsi"/>
          <w:shd w:val="clear" w:color="auto" w:fill="FFFFFF"/>
        </w:rPr>
        <w:t>水产养殖和农业面源污染防治压力仍然存在。环境基础设施难于满足日益增长的污染防治需要，</w:t>
      </w:r>
      <w:r>
        <w:rPr>
          <w:rFonts w:hint="eastAsia"/>
        </w:rPr>
        <w:t>环保基础设施暴露短板，</w:t>
      </w:r>
      <w:r>
        <w:rPr>
          <w:rFonts w:hint="eastAsia" w:asciiTheme="minorHAnsi" w:hAnsiTheme="minorHAnsi"/>
          <w:shd w:val="clear" w:color="auto" w:fill="FFFFFF"/>
        </w:rPr>
        <w:t>潟湖生态系统修复</w:t>
      </w:r>
      <w:r>
        <w:rPr>
          <w:rFonts w:hint="eastAsia" w:ascii="仿宋_GB2312" w:hAnsiTheme="minorHAnsi"/>
          <w:shd w:val="clear" w:color="auto" w:fill="FFFFFF"/>
        </w:rPr>
        <w:t>、城镇污水处理厂建设及配套管网、</w:t>
      </w:r>
      <w:r>
        <w:rPr>
          <w:rFonts w:hint="eastAsia" w:asciiTheme="minorHAnsi" w:hAnsiTheme="minorHAnsi"/>
          <w:shd w:val="clear" w:color="auto" w:fill="FFFFFF"/>
        </w:rPr>
        <w:t>农村生活污水治理设施等生态环境治理投入需求持续增加。因此，万宁市面临“补旧账还新账”双重压力，</w:t>
      </w:r>
      <w:r>
        <w:rPr>
          <w:rFonts w:hint="eastAsia"/>
        </w:rPr>
        <w:t>迫切需要严格水生态空间管控，加强城镇内河湖水环境综合治理、生态水系廊道保护与修复。</w:t>
      </w:r>
    </w:p>
    <w:p>
      <w:pPr>
        <w:ind w:firstLine="562"/>
        <w:rPr>
          <w:b/>
          <w:bCs/>
        </w:rPr>
      </w:pPr>
      <w:r>
        <w:rPr>
          <w:b/>
          <w:bCs/>
        </w:rPr>
        <w:t>3</w:t>
      </w:r>
      <w:r>
        <w:rPr>
          <w:rFonts w:hint="eastAsia"/>
          <w:b/>
          <w:bCs/>
        </w:rPr>
        <w:t>、现代化高质量环境治理体系建设仍需加强</w:t>
      </w:r>
    </w:p>
    <w:p>
      <w:pPr>
        <w:ind w:firstLine="560"/>
      </w:pPr>
      <w:r>
        <w:rPr>
          <w:rFonts w:hint="eastAsia"/>
        </w:rPr>
        <w:t>围绕供给侧结构性改革，切实提高人民群众获得感，需要不断提升生态环境管理现代化水平，创新生态环境发展机制，深化生态环境重点领域改革。</w:t>
      </w:r>
      <w:r>
        <w:rPr>
          <w:rFonts w:hint="eastAsia" w:asciiTheme="minorHAnsi" w:hAnsiTheme="minorHAnsi"/>
          <w:shd w:val="clear" w:color="auto" w:fill="FFFFFF"/>
        </w:rPr>
        <w:t>生态环境保护机构改革、综合执法改革等有助于建立生态环境保护工作新格局，但也面临诸多挑战。在新形势下万宁市如何建立健全环境治理责任体系和行动体系，完善生态环境部门的定位、履职机制，理清生态环境执法部门的执法职责及边界等问题，并进一步统筹碳减排与污染治理、陆地与海洋、城市和农村等生态环境保护重要课题，对加快推进生态环境治理和生态修复，提升生态环境治理能力和治理体系现代化水平具有重要意义。</w:t>
      </w:r>
    </w:p>
    <w:p>
      <w:pPr>
        <w:widowControl/>
        <w:adjustRightInd/>
        <w:snapToGrid/>
        <w:spacing w:line="240" w:lineRule="auto"/>
        <w:ind w:firstLine="0" w:firstLineChars="0"/>
        <w:jc w:val="left"/>
      </w:pPr>
      <w:r>
        <w:br w:type="page"/>
      </w:r>
    </w:p>
    <w:p>
      <w:pPr>
        <w:pStyle w:val="2"/>
      </w:pPr>
      <w:bookmarkStart w:id="11" w:name="_Toc152148698"/>
      <w:r>
        <w:rPr>
          <w:rFonts w:hint="eastAsia"/>
        </w:rPr>
        <w:t>2</w:t>
      </w:r>
      <w:r>
        <w:t xml:space="preserve">. </w:t>
      </w:r>
      <w:r>
        <w:rPr>
          <w:rFonts w:hint="eastAsia"/>
        </w:rPr>
        <w:t>总则</w:t>
      </w:r>
      <w:bookmarkEnd w:id="11"/>
    </w:p>
    <w:p>
      <w:pPr>
        <w:pStyle w:val="3"/>
      </w:pPr>
      <w:bookmarkStart w:id="12" w:name="_Toc152148699"/>
      <w:r>
        <w:t>2</w:t>
      </w:r>
      <w:r>
        <w:rPr>
          <w:rFonts w:hint="eastAsia"/>
        </w:rPr>
        <w:t>.</w:t>
      </w:r>
      <w:r>
        <w:t>1 指导思想</w:t>
      </w:r>
      <w:bookmarkEnd w:id="12"/>
    </w:p>
    <w:p>
      <w:pPr>
        <w:ind w:firstLine="560"/>
        <w:rPr>
          <w:b/>
          <w:bCs/>
          <w:color w:val="FF0000"/>
        </w:rPr>
      </w:pPr>
      <w:r>
        <w:rPr>
          <w:rFonts w:hint="eastAsia"/>
        </w:rPr>
        <w:t>深入贯彻落实习近平总书记对海南系列重要讲话和重要指示批示精神，以习近平生态文明思想为指导，</w:t>
      </w:r>
      <w:r>
        <w:t>全面贯彻</w:t>
      </w:r>
      <w:bookmarkStart w:id="105" w:name="_GoBack"/>
      <w:bookmarkEnd w:id="105"/>
      <w:r>
        <w:rPr>
          <w:rFonts w:hint="default"/>
          <w:lang w:val="en-US"/>
        </w:rPr>
        <w:t>党的二十大精神</w:t>
      </w:r>
      <w:r>
        <w:t>，</w:t>
      </w:r>
      <w:r>
        <w:rPr>
          <w:rFonts w:hint="eastAsia"/>
        </w:rPr>
        <w:t>统筹推进“五位一体”总体布局。协调推进“四个全面”战略布局，坚持稳中求进工作总基调，坚定不移贯彻新发展理念，</w:t>
      </w:r>
      <w:r>
        <w:t>牢固树立</w:t>
      </w:r>
      <w:r>
        <w:rPr>
          <w:rFonts w:hint="eastAsia"/>
        </w:rPr>
        <w:t>“</w:t>
      </w:r>
      <w:r>
        <w:t>绿水青山就是金山银山</w:t>
      </w:r>
      <w:r>
        <w:rPr>
          <w:rFonts w:hint="eastAsia"/>
        </w:rPr>
        <w:t>”理念</w:t>
      </w:r>
      <w:r>
        <w:t>，</w:t>
      </w:r>
      <w:r>
        <w:rPr>
          <w:rFonts w:hint="eastAsia" w:asciiTheme="minorHAnsi" w:hAnsiTheme="minorHAnsi"/>
          <w:shd w:val="clear" w:color="auto" w:fill="FFFFFF"/>
        </w:rPr>
        <w:t>紧扣推动高质量发展主题，锚准生态环境质量和资源利用效率省内前列目标，坚持生态优先、绿色发展、系统治理，以持续改善生态环境质量为根本出发点，以减污降碳协同增效作为促进经济社会发展全面绿色转型的总抓手，深入打好污染防治攻坚战，补齐环境基础设施建设和生态环境监管能力短板，全面提升生态环境治理体系和治理能力现代化水平，</w:t>
      </w:r>
      <w:r>
        <w:rPr>
          <w:rFonts w:asciiTheme="minorHAnsi" w:hAnsiTheme="minorHAnsi"/>
          <w:shd w:val="clear" w:color="auto" w:fill="FFFFFF"/>
        </w:rPr>
        <w:t>努力把</w:t>
      </w:r>
      <w:r>
        <w:rPr>
          <w:rFonts w:asciiTheme="minorHAnsi" w:hAnsiTheme="minorHAnsi"/>
        </w:rPr>
        <w:t>万宁</w:t>
      </w:r>
      <w:r>
        <w:rPr>
          <w:rFonts w:asciiTheme="minorHAnsi" w:hAnsiTheme="minorHAnsi"/>
          <w:shd w:val="clear" w:color="auto" w:fill="FFFFFF"/>
        </w:rPr>
        <w:t>打造成为独具特色的</w:t>
      </w:r>
      <w:r>
        <w:rPr>
          <w:rFonts w:asciiTheme="minorHAnsi" w:hAnsiTheme="minorHAnsi"/>
        </w:rPr>
        <w:t>滨海花园城市</w:t>
      </w:r>
      <w:r>
        <w:rPr>
          <w:rFonts w:asciiTheme="minorHAnsi" w:hAnsiTheme="minorHAnsi"/>
          <w:shd w:val="clear" w:color="auto" w:fill="FFFFFF"/>
        </w:rPr>
        <w:t>和</w:t>
      </w:r>
      <w:r>
        <w:rPr>
          <w:rFonts w:asciiTheme="minorHAnsi" w:hAnsiTheme="minorHAnsi"/>
        </w:rPr>
        <w:t>清新度假胜地</w:t>
      </w:r>
      <w:r>
        <w:rPr>
          <w:rFonts w:hint="eastAsia" w:asciiTheme="minorHAnsi" w:hAnsiTheme="minorHAnsi"/>
          <w:shd w:val="clear" w:color="auto" w:fill="FFFFFF"/>
        </w:rPr>
        <w:t>，提升人民群众对优良生态环境的获得感和幸福感。</w:t>
      </w:r>
    </w:p>
    <w:p>
      <w:pPr>
        <w:pStyle w:val="3"/>
      </w:pPr>
      <w:bookmarkStart w:id="13" w:name="_Toc152148700"/>
      <w:r>
        <w:rPr>
          <w:rFonts w:hint="eastAsia"/>
        </w:rPr>
        <w:t>2</w:t>
      </w:r>
      <w:r>
        <w:t>.2 规划原则</w:t>
      </w:r>
      <w:bookmarkEnd w:id="13"/>
    </w:p>
    <w:p>
      <w:pPr>
        <w:ind w:firstLine="562"/>
        <w:rPr>
          <w:rFonts w:cs="仿宋_GB2312"/>
          <w:kern w:val="0"/>
        </w:rPr>
      </w:pPr>
      <w:r>
        <w:rPr>
          <w:rFonts w:hint="eastAsia"/>
          <w:b/>
          <w:bCs/>
        </w:rPr>
        <w:t>双碳引领，系统变革</w:t>
      </w:r>
      <w:r>
        <w:rPr>
          <w:rFonts w:hint="eastAsia" w:cs="楷体_GB2312"/>
          <w:b/>
          <w:bCs/>
          <w:kern w:val="0"/>
        </w:rPr>
        <w:t>。</w:t>
      </w:r>
      <w:r>
        <w:rPr>
          <w:rFonts w:hint="eastAsia" w:cs="仿宋_GB2312"/>
          <w:kern w:val="0"/>
        </w:rPr>
        <w:t>坚持生态优先，以“双碳”目标为引领，以降碳为重点战略方向，加快能源、产业、运输结构调整，打造现代化生态产业体系，构建优质生态产品供给、优势生态产品价值实现和绿色发展成果共享的生态经济模式。</w:t>
      </w:r>
    </w:p>
    <w:p>
      <w:pPr>
        <w:ind w:firstLine="562"/>
        <w:rPr>
          <w:b/>
          <w:bCs/>
        </w:rPr>
      </w:pPr>
      <w:r>
        <w:rPr>
          <w:rFonts w:hint="eastAsia"/>
          <w:b/>
          <w:bCs/>
        </w:rPr>
        <w:t>生态塑韵，品质提升。</w:t>
      </w:r>
      <w:r>
        <w:rPr>
          <w:rFonts w:hint="eastAsia" w:cs="仿宋_GB2312"/>
          <w:kern w:val="0"/>
        </w:rPr>
        <w:t>牢固树立“人与自然和谐共生”理念，统筹推进生态环境质量和资源利用效率省内领先目标，</w:t>
      </w:r>
      <w:r>
        <w:rPr>
          <w:rFonts w:cs="仿宋_GB2312"/>
          <w:kern w:val="0"/>
        </w:rPr>
        <w:t>坚持标准化与特色化相结合，</w:t>
      </w:r>
      <w:r>
        <w:rPr>
          <w:rFonts w:hint="eastAsia" w:asciiTheme="minorHAnsi" w:hAnsiTheme="minorHAnsi"/>
          <w:shd w:val="clear" w:color="auto" w:fill="FFFFFF"/>
        </w:rPr>
        <w:t>打造生态文明建设万宁示范区，</w:t>
      </w:r>
      <w:r>
        <w:rPr>
          <w:rFonts w:hint="eastAsia" w:cs="仿宋_GB2312"/>
          <w:kern w:val="0"/>
        </w:rPr>
        <w:t>率先走出人文为魂、生态塑韵的城市发展之路。</w:t>
      </w:r>
    </w:p>
    <w:p>
      <w:pPr>
        <w:ind w:firstLine="562"/>
      </w:pPr>
      <w:r>
        <w:rPr>
          <w:rFonts w:hint="eastAsia"/>
          <w:b/>
          <w:bCs/>
        </w:rPr>
        <w:t>问题导向，精准施策。</w:t>
      </w:r>
      <w:r>
        <w:rPr>
          <w:rFonts w:hint="eastAsia"/>
        </w:rPr>
        <w:t>坚持“山水林田湖海草沙”系统治理，建立陆海统筹的生态系统修复和保护机制。聚焦水体污染、村镇饮用水卫生不达标、潟湖环境质量下降、</w:t>
      </w:r>
      <w:r>
        <w:t>秸秆综合利用率</w:t>
      </w:r>
      <w:r>
        <w:rPr>
          <w:rFonts w:hint="eastAsia"/>
        </w:rPr>
        <w:t>偏低等突出生态环境问题，推动生态环境源头治理、系统治理、整体治理，持续改善生态环境质量，打好升级版污染防治攻坚战。</w:t>
      </w:r>
    </w:p>
    <w:p>
      <w:pPr>
        <w:ind w:firstLine="562"/>
      </w:pPr>
      <w:r>
        <w:rPr>
          <w:rFonts w:hint="eastAsia" w:asciiTheme="minorHAnsi" w:hAnsiTheme="minorHAnsi"/>
          <w:b/>
          <w:shd w:val="clear" w:color="auto" w:fill="FFFFFF"/>
        </w:rPr>
        <w:t>底线约束，社会共治</w:t>
      </w:r>
      <w:r>
        <w:rPr>
          <w:rFonts w:hint="eastAsia" w:asciiTheme="minorHAnsi" w:hAnsiTheme="minorHAnsi"/>
          <w:shd w:val="clear" w:color="auto" w:fill="FFFFFF"/>
        </w:rPr>
        <w:t>。坚持底线思维，强化空间、准入对开发布局、建设规模和产业转型升级的硬约束。加大生态环境信息公开力度，引导群众积极参与环境保护，</w:t>
      </w:r>
      <w:r>
        <w:rPr>
          <w:rFonts w:hint="eastAsia" w:cs="仿宋_GB2312"/>
          <w:kern w:val="0"/>
        </w:rPr>
        <w:t>培育全社会生态文明价值观念和行为准则，推动形成绿色低碳生产生活方式，不断增强人民群众生态文明建设获得感和幸福感</w:t>
      </w:r>
      <w:r>
        <w:t>。</w:t>
      </w:r>
    </w:p>
    <w:p>
      <w:pPr>
        <w:pStyle w:val="3"/>
      </w:pPr>
      <w:bookmarkStart w:id="14" w:name="_Toc152148701"/>
      <w:r>
        <w:rPr>
          <w:rFonts w:hint="eastAsia"/>
        </w:rPr>
        <w:t>2</w:t>
      </w:r>
      <w:r>
        <w:t xml:space="preserve">.3 </w:t>
      </w:r>
      <w:r>
        <w:rPr>
          <w:rFonts w:hint="eastAsia"/>
        </w:rPr>
        <w:t>编制依据</w:t>
      </w:r>
      <w:bookmarkEnd w:id="14"/>
    </w:p>
    <w:p>
      <w:pPr>
        <w:autoSpaceDE w:val="0"/>
        <w:autoSpaceDN w:val="0"/>
        <w:ind w:firstLine="562"/>
        <w:rPr>
          <w:rFonts w:ascii="宋体" w:hAnsi="宋体"/>
          <w:b/>
          <w:szCs w:val="28"/>
        </w:rPr>
      </w:pPr>
      <w:r>
        <w:rPr>
          <w:rFonts w:hint="eastAsia" w:ascii="宋体" w:hAnsi="宋体"/>
          <w:b/>
          <w:szCs w:val="28"/>
        </w:rPr>
        <w:t>1、国家层面</w:t>
      </w:r>
    </w:p>
    <w:p>
      <w:pPr>
        <w:ind w:firstLine="560"/>
      </w:pPr>
      <w:r>
        <w:rPr>
          <w:rFonts w:hint="eastAsia"/>
        </w:rPr>
        <w:t>《习近平在庆祝海南建省办经济特区30周年大会上的讲话》</w:t>
      </w:r>
    </w:p>
    <w:p>
      <w:pPr>
        <w:ind w:firstLine="560"/>
      </w:pPr>
      <w:r>
        <w:rPr>
          <w:rFonts w:hint="eastAsia"/>
        </w:rPr>
        <w:t>《习近平在全国生态环境保护大会上讲话》</w:t>
      </w:r>
    </w:p>
    <w:p>
      <w:pPr>
        <w:ind w:firstLine="560"/>
      </w:pPr>
      <w:r>
        <w:rPr>
          <w:rFonts w:hint="eastAsia"/>
        </w:rPr>
        <w:t>《</w:t>
      </w:r>
      <w:r>
        <w:t>中共中央国务院关于支持海南全面深化改革开放的指导意见</w:t>
      </w:r>
      <w:r>
        <w:rPr>
          <w:rFonts w:hint="eastAsia"/>
        </w:rPr>
        <w:t>》（中发</w:t>
      </w:r>
      <w:r>
        <w:rPr>
          <w:rFonts w:hint="eastAsia" w:ascii="仿宋_GB2312" w:hAnsi="仿宋_GB2312" w:eastAsia="仿宋_GB2312" w:cs="仿宋_GB2312"/>
        </w:rPr>
        <w:t>〔</w:t>
      </w:r>
      <w:r>
        <w:rPr>
          <w:rFonts w:hint="eastAsia"/>
        </w:rPr>
        <w:t>2018</w:t>
      </w:r>
      <w:r>
        <w:rPr>
          <w:rFonts w:hint="eastAsia" w:ascii="仿宋_GB2312" w:hAnsi="仿宋_GB2312" w:eastAsia="仿宋_GB2312" w:cs="仿宋_GB2312"/>
        </w:rPr>
        <w:t>〕</w:t>
      </w:r>
      <w:r>
        <w:rPr>
          <w:rFonts w:hint="eastAsia"/>
        </w:rPr>
        <w:t>12号）</w:t>
      </w:r>
    </w:p>
    <w:p>
      <w:pPr>
        <w:ind w:firstLine="560"/>
      </w:pPr>
      <w:r>
        <w:rPr>
          <w:rFonts w:hint="eastAsia"/>
        </w:rPr>
        <w:t>《海南自由贸易港建设总体方案》（中发</w:t>
      </w:r>
      <w:r>
        <w:rPr>
          <w:rFonts w:hint="eastAsia" w:ascii="仿宋_GB2312" w:hAnsi="仿宋_GB2312" w:eastAsia="仿宋_GB2312" w:cs="仿宋_GB2312"/>
        </w:rPr>
        <w:t>〔</w:t>
      </w:r>
      <w:r>
        <w:rPr>
          <w:rFonts w:hint="eastAsia"/>
        </w:rPr>
        <w:t>2020</w:t>
      </w:r>
      <w:r>
        <w:rPr>
          <w:rFonts w:hint="eastAsia" w:ascii="仿宋_GB2312" w:hAnsi="仿宋_GB2312" w:eastAsia="仿宋_GB2312" w:cs="仿宋_GB2312"/>
        </w:rPr>
        <w:t>〕</w:t>
      </w:r>
      <w:r>
        <w:rPr>
          <w:rFonts w:hint="eastAsia"/>
        </w:rPr>
        <w:t>8号）</w:t>
      </w:r>
    </w:p>
    <w:p>
      <w:pPr>
        <w:ind w:firstLine="560"/>
      </w:pPr>
      <w:r>
        <w:rPr>
          <w:rFonts w:hint="eastAsia"/>
        </w:rPr>
        <w:t>《绿色生活创建行动总体方案》（发改环资</w:t>
      </w:r>
      <w:r>
        <w:rPr>
          <w:rFonts w:hint="eastAsia" w:ascii="仿宋_GB2312" w:hAnsi="仿宋_GB2312" w:eastAsia="仿宋_GB2312" w:cs="仿宋_GB2312"/>
        </w:rPr>
        <w:t>〔</w:t>
      </w:r>
      <w:r>
        <w:rPr>
          <w:rFonts w:hint="eastAsia"/>
        </w:rPr>
        <w:t>2019</w:t>
      </w:r>
      <w:r>
        <w:rPr>
          <w:rFonts w:hint="eastAsia" w:ascii="仿宋_GB2312" w:hAnsi="仿宋_GB2312" w:eastAsia="仿宋_GB2312" w:cs="仿宋_GB2312"/>
        </w:rPr>
        <w:t>〕</w:t>
      </w:r>
      <w:r>
        <w:rPr>
          <w:rFonts w:hint="eastAsia"/>
        </w:rPr>
        <w:t>1696号）</w:t>
      </w:r>
    </w:p>
    <w:p>
      <w:pPr>
        <w:ind w:firstLine="560"/>
      </w:pPr>
      <w:r>
        <w:rPr>
          <w:rFonts w:hint="eastAsia"/>
        </w:rPr>
        <w:t>《国家生态文明试验区（海南）实施方案》（厅字</w:t>
      </w:r>
      <w:r>
        <w:rPr>
          <w:rFonts w:hint="eastAsia" w:ascii="仿宋_GB2312" w:hAnsi="仿宋_GB2312" w:eastAsia="仿宋_GB2312" w:cs="仿宋_GB2312"/>
        </w:rPr>
        <w:t>〔</w:t>
      </w:r>
      <w:r>
        <w:rPr>
          <w:rFonts w:hint="eastAsia"/>
        </w:rPr>
        <w:t>2019</w:t>
      </w:r>
      <w:r>
        <w:rPr>
          <w:rFonts w:hint="eastAsia" w:ascii="仿宋_GB2312" w:hAnsi="仿宋_GB2312" w:eastAsia="仿宋_GB2312" w:cs="仿宋_GB2312"/>
        </w:rPr>
        <w:t>〕</w:t>
      </w:r>
      <w:r>
        <w:rPr>
          <w:rFonts w:hint="eastAsia"/>
        </w:rPr>
        <w:t>29号）</w:t>
      </w:r>
    </w:p>
    <w:p>
      <w:pPr>
        <w:ind w:firstLine="560"/>
      </w:pPr>
      <w:r>
        <w:rPr>
          <w:rFonts w:hint="eastAsia"/>
        </w:rPr>
        <w:t>《关于在中国（海南）自由贸易试验区试点其他自贸试验区施行政策的通知》（商自贸函</w:t>
      </w:r>
      <w:r>
        <w:rPr>
          <w:rFonts w:hint="eastAsia" w:ascii="仿宋_GB2312" w:hAnsi="仿宋_GB2312" w:eastAsia="仿宋_GB2312" w:cs="仿宋_GB2312"/>
        </w:rPr>
        <w:t>〔</w:t>
      </w:r>
      <w:r>
        <w:rPr>
          <w:rFonts w:hint="eastAsia"/>
        </w:rPr>
        <w:t>2019</w:t>
      </w:r>
      <w:r>
        <w:rPr>
          <w:rFonts w:hint="eastAsia" w:ascii="仿宋_GB2312" w:hAnsi="仿宋_GB2312" w:eastAsia="仿宋_GB2312" w:cs="仿宋_GB2312"/>
        </w:rPr>
        <w:t>〕</w:t>
      </w:r>
      <w:r>
        <w:rPr>
          <w:rFonts w:hint="eastAsia"/>
        </w:rPr>
        <w:t>619号）</w:t>
      </w:r>
    </w:p>
    <w:p>
      <w:pPr>
        <w:ind w:firstLine="547"/>
      </w:pPr>
      <w:r>
        <w:rPr>
          <w:rFonts w:hint="eastAsia"/>
          <w:w w:val="98"/>
        </w:rPr>
        <w:t>《国家生态文明建设示范区规划编制指南（试行）》</w:t>
      </w:r>
      <w:r>
        <w:rPr>
          <w:rFonts w:hint="eastAsia" w:cs="仿宋_GB2312"/>
          <w:w w:val="98"/>
          <w:kern w:val="0"/>
        </w:rPr>
        <w:t>（环办生态函</w:t>
      </w:r>
      <w:r>
        <w:rPr>
          <w:rFonts w:hint="eastAsia" w:ascii="仿宋_GB2312" w:hAnsi="仿宋_GB2312" w:eastAsia="仿宋_GB2312" w:cs="仿宋_GB2312"/>
        </w:rPr>
        <w:t>〔</w:t>
      </w:r>
      <w:r>
        <w:rPr>
          <w:rFonts w:hint="eastAsia"/>
        </w:rPr>
        <w:t>20</w:t>
      </w:r>
      <w:r>
        <w:t>21</w:t>
      </w:r>
      <w:r>
        <w:rPr>
          <w:rFonts w:hint="eastAsia" w:ascii="仿宋_GB2312" w:hAnsi="仿宋_GB2312" w:eastAsia="仿宋_GB2312" w:cs="仿宋_GB2312"/>
        </w:rPr>
        <w:t>〕</w:t>
      </w:r>
      <w:r>
        <w:t>146</w:t>
      </w:r>
      <w:r>
        <w:rPr>
          <w:rFonts w:hint="eastAsia"/>
        </w:rPr>
        <w:t>号）</w:t>
      </w:r>
    </w:p>
    <w:p>
      <w:pPr>
        <w:ind w:firstLine="560"/>
      </w:pPr>
      <w:bookmarkStart w:id="15" w:name="_Hlk131689500"/>
      <w:r>
        <w:rPr>
          <w:rFonts w:cs="仿宋_GB2312"/>
          <w:kern w:val="0"/>
        </w:rPr>
        <w:t>《国家生态文明</w:t>
      </w:r>
      <w:r>
        <w:rPr>
          <w:rFonts w:hint="eastAsia" w:cs="仿宋_GB2312"/>
          <w:kern w:val="0"/>
        </w:rPr>
        <w:t>建设示范区建设指标</w:t>
      </w:r>
      <w:r>
        <w:rPr>
          <w:rFonts w:cs="仿宋_GB2312"/>
          <w:kern w:val="0"/>
        </w:rPr>
        <w:t>》</w:t>
      </w:r>
      <w:r>
        <w:rPr>
          <w:rFonts w:hint="eastAsia"/>
        </w:rPr>
        <w:t>（环办生态函〔2021〕353号）</w:t>
      </w:r>
    </w:p>
    <w:p>
      <w:pPr>
        <w:ind w:firstLine="547"/>
        <w:rPr>
          <w:w w:val="98"/>
        </w:rPr>
      </w:pPr>
      <w:r>
        <w:rPr>
          <w:rFonts w:hint="eastAsia"/>
          <w:w w:val="98"/>
        </w:rPr>
        <w:t>《生态文明建设示范区建设指标（修订版）》（环办生态函</w:t>
      </w:r>
      <w:r>
        <w:rPr>
          <w:rFonts w:hint="eastAsia"/>
        </w:rPr>
        <w:t>〔202</w:t>
      </w:r>
      <w:r>
        <w:t>3</w:t>
      </w:r>
      <w:r>
        <w:rPr>
          <w:rFonts w:hint="eastAsia"/>
        </w:rPr>
        <w:t>〕2</w:t>
      </w:r>
      <w:r>
        <w:t>09</w:t>
      </w:r>
      <w:r>
        <w:rPr>
          <w:rFonts w:hint="eastAsia"/>
        </w:rPr>
        <w:t>号</w:t>
      </w:r>
      <w:r>
        <w:rPr>
          <w:rFonts w:hint="eastAsia"/>
          <w:w w:val="98"/>
        </w:rPr>
        <w:t>）</w:t>
      </w:r>
    </w:p>
    <w:bookmarkEnd w:id="15"/>
    <w:p>
      <w:pPr>
        <w:ind w:firstLine="562"/>
        <w:rPr>
          <w:b/>
          <w:bCs/>
        </w:rPr>
      </w:pPr>
      <w:r>
        <w:rPr>
          <w:b/>
          <w:bCs/>
        </w:rPr>
        <w:t>2</w:t>
      </w:r>
      <w:r>
        <w:rPr>
          <w:rFonts w:hint="eastAsia"/>
          <w:b/>
          <w:bCs/>
        </w:rPr>
        <w:t>、省级层面</w:t>
      </w:r>
    </w:p>
    <w:p>
      <w:pPr>
        <w:ind w:firstLine="560"/>
      </w:pPr>
      <w:r>
        <w:rPr>
          <w:rFonts w:hint="eastAsia"/>
        </w:rPr>
        <w:t>《海南省健康产业发展规划（2019-2025年）》</w:t>
      </w:r>
    </w:p>
    <w:p>
      <w:pPr>
        <w:ind w:firstLine="560"/>
      </w:pPr>
      <w:r>
        <w:rPr>
          <w:rFonts w:hint="eastAsia"/>
        </w:rPr>
        <w:t>《海南省现代产业体系规划（2019-2025年）》</w:t>
      </w:r>
    </w:p>
    <w:p>
      <w:pPr>
        <w:ind w:firstLine="560"/>
      </w:pPr>
      <w:r>
        <w:rPr>
          <w:rFonts w:hint="eastAsia"/>
        </w:rPr>
        <w:t>《海南省生态循环农业发展规划（2018-2025年）》</w:t>
      </w:r>
    </w:p>
    <w:p>
      <w:pPr>
        <w:ind w:firstLine="560"/>
      </w:pPr>
      <w:r>
        <w:rPr>
          <w:rFonts w:hint="eastAsia"/>
        </w:rPr>
        <w:t>《海南省国民经济和社会发展第十四个五年规划和二〇三五年远景目标纲要》</w:t>
      </w:r>
    </w:p>
    <w:p>
      <w:pPr>
        <w:ind w:firstLine="560"/>
      </w:pPr>
      <w:r>
        <w:rPr>
          <w:rFonts w:hint="eastAsia"/>
        </w:rPr>
        <w:t>《海南省“十四五”生态环境保护规划》（琼府办〔2021〕36号）</w:t>
      </w:r>
    </w:p>
    <w:p>
      <w:pPr>
        <w:ind w:firstLine="560"/>
      </w:pPr>
      <w:r>
        <w:rPr>
          <w:rFonts w:hint="eastAsia"/>
        </w:rPr>
        <w:t>《海南省总体规划纲要》（2015-2030年）</w:t>
      </w:r>
    </w:p>
    <w:p>
      <w:pPr>
        <w:ind w:firstLine="560"/>
      </w:pPr>
      <w:r>
        <w:rPr>
          <w:rFonts w:hint="eastAsia"/>
        </w:rPr>
        <w:t>《海南省生态环境科技发展规划》（2019-2025年）（琼环科字〔2019〕1号）</w:t>
      </w:r>
    </w:p>
    <w:p>
      <w:pPr>
        <w:ind w:firstLine="560"/>
      </w:pPr>
      <w:r>
        <w:rPr>
          <w:rFonts w:hint="eastAsia"/>
        </w:rPr>
        <w:t>《2</w:t>
      </w:r>
      <w:r>
        <w:t>021</w:t>
      </w:r>
      <w:r>
        <w:rPr>
          <w:rFonts w:hint="eastAsia"/>
        </w:rPr>
        <w:t>海南省生态环境状况公报》</w:t>
      </w:r>
    </w:p>
    <w:p>
      <w:pPr>
        <w:ind w:firstLine="560"/>
      </w:pPr>
      <w:r>
        <w:rPr>
          <w:rFonts w:hint="eastAsia"/>
        </w:rPr>
        <w:t>《2</w:t>
      </w:r>
      <w:r>
        <w:t>022</w:t>
      </w:r>
      <w:r>
        <w:rPr>
          <w:rFonts w:hint="eastAsia"/>
        </w:rPr>
        <w:t>海南省生态环境状况公报》</w:t>
      </w:r>
    </w:p>
    <w:p>
      <w:pPr>
        <w:ind w:firstLine="562"/>
        <w:rPr>
          <w:b/>
          <w:bCs/>
        </w:rPr>
      </w:pPr>
      <w:r>
        <w:rPr>
          <w:rFonts w:hint="eastAsia"/>
          <w:b/>
          <w:bCs/>
        </w:rPr>
        <w:t>3、市级层面</w:t>
      </w:r>
    </w:p>
    <w:p>
      <w:pPr>
        <w:ind w:firstLine="560"/>
      </w:pPr>
      <w:r>
        <w:rPr>
          <w:rFonts w:hint="eastAsia"/>
        </w:rPr>
        <w:t>《万宁市国民经济和社会发展第十四个五年规划和二○三五年远景目标纲要》</w:t>
      </w:r>
    </w:p>
    <w:p>
      <w:pPr>
        <w:ind w:firstLine="560"/>
      </w:pPr>
      <w:r>
        <w:rPr>
          <w:rFonts w:hint="eastAsia"/>
        </w:rPr>
        <w:t>《万宁市“十四五”水资源利用与保护规划》</w:t>
      </w:r>
    </w:p>
    <w:p>
      <w:pPr>
        <w:ind w:firstLine="560"/>
      </w:pPr>
      <w:r>
        <w:rPr>
          <w:rFonts w:hint="eastAsia"/>
        </w:rPr>
        <w:t>《万宁市“十四五”生态环境保护规划》</w:t>
      </w:r>
    </w:p>
    <w:p>
      <w:pPr>
        <w:ind w:firstLine="560"/>
      </w:pPr>
      <w:r>
        <w:rPr>
          <w:rFonts w:hint="eastAsia"/>
        </w:rPr>
        <w:t>《万宁市“十四五”科技和工业信息化发展规划》</w:t>
      </w:r>
    </w:p>
    <w:p>
      <w:pPr>
        <w:ind w:firstLine="560"/>
      </w:pPr>
      <w:r>
        <w:rPr>
          <w:rFonts w:hint="eastAsia"/>
        </w:rPr>
        <w:t>《万宁市“十四五”农业农村现代化规划》</w:t>
      </w:r>
    </w:p>
    <w:p>
      <w:pPr>
        <w:ind w:firstLine="560"/>
      </w:pPr>
      <w:r>
        <w:rPr>
          <w:rFonts w:hint="eastAsia"/>
        </w:rPr>
        <w:t>《万宁市海绵城市专项规划（2</w:t>
      </w:r>
      <w:r>
        <w:t>020-2030</w:t>
      </w:r>
      <w:r>
        <w:rPr>
          <w:rFonts w:hint="eastAsia"/>
        </w:rPr>
        <w:t>）》</w:t>
      </w:r>
    </w:p>
    <w:p>
      <w:pPr>
        <w:ind w:firstLine="560"/>
      </w:pPr>
      <w:r>
        <w:rPr>
          <w:rFonts w:hint="eastAsia"/>
        </w:rPr>
        <w:t>《万宁市林业发展“十四五”规划》</w:t>
      </w:r>
    </w:p>
    <w:p>
      <w:pPr>
        <w:ind w:firstLine="560"/>
      </w:pPr>
      <w:r>
        <w:rPr>
          <w:rFonts w:hint="eastAsia"/>
        </w:rPr>
        <w:t>《万宁市“十四五”城镇污水处理及资源化利用规划报告》</w:t>
      </w:r>
    </w:p>
    <w:p>
      <w:pPr>
        <w:ind w:firstLine="560"/>
      </w:pPr>
      <w:r>
        <w:rPr>
          <w:rFonts w:hint="eastAsia"/>
        </w:rPr>
        <w:t>《万宁市农村生活污水治理专项规划（2</w:t>
      </w:r>
      <w:r>
        <w:t>021-2025</w:t>
      </w:r>
      <w:r>
        <w:rPr>
          <w:rFonts w:hint="eastAsia"/>
        </w:rPr>
        <w:t>）》</w:t>
      </w:r>
    </w:p>
    <w:p>
      <w:pPr>
        <w:ind w:firstLine="560"/>
      </w:pPr>
      <w:r>
        <w:rPr>
          <w:rFonts w:hint="eastAsia"/>
        </w:rPr>
        <w:t>《万宁市城区黑臭水体排查报告及治理方案》</w:t>
      </w:r>
    </w:p>
    <w:p>
      <w:pPr>
        <w:ind w:firstLine="560"/>
      </w:pPr>
      <w:r>
        <w:rPr>
          <w:rFonts w:hint="eastAsia"/>
        </w:rPr>
        <w:t>《万宁市畜禽养殖污染防治规划》</w:t>
      </w:r>
    </w:p>
    <w:p>
      <w:pPr>
        <w:ind w:firstLine="560"/>
      </w:pPr>
      <w:r>
        <w:rPr>
          <w:rFonts w:hint="eastAsia"/>
        </w:rPr>
        <w:t>《万宁市国土空间生态修复规划（2</w:t>
      </w:r>
      <w:r>
        <w:t>021-2035</w:t>
      </w:r>
      <w:r>
        <w:rPr>
          <w:rFonts w:hint="eastAsia"/>
        </w:rPr>
        <w:t>）》</w:t>
      </w:r>
    </w:p>
    <w:p>
      <w:pPr>
        <w:ind w:firstLine="560"/>
      </w:pPr>
      <w:r>
        <w:rPr>
          <w:rFonts w:hint="eastAsia"/>
        </w:rPr>
        <w:t>《万宁市国土空间总体规划（2</w:t>
      </w:r>
      <w:r>
        <w:t>021-2035</w:t>
      </w:r>
      <w:r>
        <w:rPr>
          <w:rFonts w:hint="eastAsia"/>
        </w:rPr>
        <w:t>）》</w:t>
      </w:r>
    </w:p>
    <w:p>
      <w:pPr>
        <w:ind w:firstLine="560"/>
      </w:pPr>
      <w:r>
        <w:rPr>
          <w:rFonts w:hint="eastAsia"/>
        </w:rPr>
        <w:t>《万宁市生态环境质量报告书（2</w:t>
      </w:r>
      <w:r>
        <w:t>016-2020</w:t>
      </w:r>
      <w:r>
        <w:rPr>
          <w:rFonts w:hint="eastAsia"/>
        </w:rPr>
        <w:t>年）》</w:t>
      </w:r>
    </w:p>
    <w:p>
      <w:pPr>
        <w:ind w:firstLine="560"/>
      </w:pPr>
      <w:r>
        <w:rPr>
          <w:rFonts w:hint="eastAsia"/>
        </w:rPr>
        <w:t>《万宁市生态环境质量报告书（2</w:t>
      </w:r>
      <w:r>
        <w:t>021</w:t>
      </w:r>
      <w:r>
        <w:rPr>
          <w:rFonts w:hint="eastAsia"/>
        </w:rPr>
        <w:t>年）》</w:t>
      </w:r>
    </w:p>
    <w:p>
      <w:pPr>
        <w:ind w:firstLine="560"/>
      </w:pPr>
      <w:r>
        <w:rPr>
          <w:rFonts w:hint="eastAsia"/>
        </w:rPr>
        <w:t>《万宁市生态环境质量报告书（2</w:t>
      </w:r>
      <w:r>
        <w:t>022</w:t>
      </w:r>
      <w:r>
        <w:rPr>
          <w:rFonts w:hint="eastAsia"/>
        </w:rPr>
        <w:t>年）》</w:t>
      </w:r>
    </w:p>
    <w:p>
      <w:pPr>
        <w:pStyle w:val="3"/>
      </w:pPr>
      <w:bookmarkStart w:id="16" w:name="_Toc152148702"/>
      <w:r>
        <w:rPr>
          <w:rFonts w:hint="eastAsia"/>
        </w:rPr>
        <w:t>2</w:t>
      </w:r>
      <w:r>
        <w:t>.4 规划范围</w:t>
      </w:r>
      <w:bookmarkEnd w:id="16"/>
    </w:p>
    <w:p>
      <w:pPr>
        <w:ind w:firstLine="560"/>
      </w:pPr>
      <w:r>
        <w:rPr>
          <w:rFonts w:hint="eastAsia"/>
        </w:rPr>
        <w:t>本规划范围包括万宁市行政辖区内全部陆域和近岸海域。万宁市陆地面积1904.17平方公里，海域面积2783.42平方公里。</w:t>
      </w:r>
    </w:p>
    <w:p>
      <w:pPr>
        <w:pStyle w:val="3"/>
      </w:pPr>
      <w:bookmarkStart w:id="17" w:name="_Toc152148703"/>
      <w:r>
        <w:rPr>
          <w:rFonts w:hint="eastAsia"/>
        </w:rPr>
        <w:t>2</w:t>
      </w:r>
      <w:r>
        <w:t>.5 规划期限</w:t>
      </w:r>
      <w:bookmarkEnd w:id="17"/>
    </w:p>
    <w:p>
      <w:pPr>
        <w:ind w:firstLine="560"/>
      </w:pPr>
      <w:r>
        <w:rPr>
          <w:rFonts w:hint="eastAsia"/>
        </w:rPr>
        <w:t>规划基准年为2</w:t>
      </w:r>
      <w:r>
        <w:t>022</w:t>
      </w:r>
      <w:r>
        <w:rPr>
          <w:rFonts w:hint="eastAsia"/>
        </w:rPr>
        <w:t>年，实施时限为2</w:t>
      </w:r>
      <w:r>
        <w:t>023</w:t>
      </w:r>
      <w:r>
        <w:rPr>
          <w:rFonts w:hint="eastAsia"/>
        </w:rPr>
        <w:t>年至2</w:t>
      </w:r>
      <w:r>
        <w:t>030</w:t>
      </w:r>
      <w:r>
        <w:rPr>
          <w:rFonts w:hint="eastAsia"/>
        </w:rPr>
        <w:t>年。</w:t>
      </w:r>
    </w:p>
    <w:p>
      <w:pPr>
        <w:ind w:firstLine="560"/>
      </w:pPr>
      <w:r>
        <w:rPr>
          <w:rFonts w:hint="eastAsia"/>
        </w:rPr>
        <w:t>规划近期：2</w:t>
      </w:r>
      <w:r>
        <w:t>023-2025</w:t>
      </w:r>
      <w:r>
        <w:rPr>
          <w:rFonts w:hint="eastAsia"/>
        </w:rPr>
        <w:t>年，为生态文明全面建设期。</w:t>
      </w:r>
    </w:p>
    <w:p>
      <w:pPr>
        <w:ind w:firstLine="560"/>
      </w:pPr>
      <w:r>
        <w:rPr>
          <w:rFonts w:hint="eastAsia"/>
        </w:rPr>
        <w:t>规划远期：2</w:t>
      </w:r>
      <w:r>
        <w:t>026-2030</w:t>
      </w:r>
      <w:r>
        <w:rPr>
          <w:rFonts w:hint="eastAsia"/>
        </w:rPr>
        <w:t>年，为生态文明深化提升期。</w:t>
      </w:r>
    </w:p>
    <w:p>
      <w:pPr>
        <w:pStyle w:val="3"/>
      </w:pPr>
      <w:bookmarkStart w:id="18" w:name="_Toc152148704"/>
      <w:r>
        <w:rPr>
          <w:rFonts w:hint="eastAsia"/>
        </w:rPr>
        <w:t>2</w:t>
      </w:r>
      <w:r>
        <w:t>.6 规划目标</w:t>
      </w:r>
      <w:bookmarkEnd w:id="18"/>
    </w:p>
    <w:p>
      <w:pPr>
        <w:ind w:firstLine="560"/>
      </w:pPr>
      <w:r>
        <w:rPr>
          <w:rFonts w:hint="eastAsia"/>
        </w:rPr>
        <w:t>锚定“生态文明建设走在全省前列”的目标，以深入打好污染防治攻坚战为主线，充分利用生态资源优势，生态文明制度不断创新，生态环境质量持续改善，自然生态系统持续优化，绿色低碳产业体系基本建立，人民群众生态环境获得感幸福感持续提升，“绿水青山就是金山银山”转化通道进一步拓宽，率先走出陆海协同的城市高质量发展之路，绘就“多彩多情、万福万宁”的美丽画卷，力争在2</w:t>
      </w:r>
      <w:r>
        <w:t>025</w:t>
      </w:r>
      <w:r>
        <w:rPr>
          <w:rFonts w:hint="eastAsia"/>
        </w:rPr>
        <w:t>年完成生态文明建设示范区创建，打造生态文明建设示范区的“万宁样板”</w:t>
      </w:r>
      <w:r>
        <w:rPr>
          <w:rFonts w:hint="eastAsia" w:asciiTheme="minorHAnsi" w:hAnsiTheme="minorHAnsi"/>
          <w:shd w:val="clear" w:color="auto" w:fill="FFFFFF"/>
        </w:rPr>
        <w:t>。</w:t>
      </w:r>
    </w:p>
    <w:p>
      <w:pPr>
        <w:ind w:firstLine="562"/>
      </w:pPr>
      <w:r>
        <w:rPr>
          <w:rFonts w:hint="eastAsia"/>
          <w:b/>
          <w:bCs/>
        </w:rPr>
        <w:t>——完善生态文明制度体系。</w:t>
      </w:r>
      <w:r>
        <w:rPr>
          <w:rFonts w:hint="eastAsia"/>
        </w:rPr>
        <w:t>生态文明制度创新不断涌现，生态产品</w:t>
      </w:r>
      <w:r>
        <w:t>价值实现机制进一步深化，生态环境损害赔偿全面实施，</w:t>
      </w:r>
      <w:r>
        <w:rPr>
          <w:rFonts w:hint="eastAsia"/>
          <w:shd w:val="clear" w:color="auto" w:fill="FFFFFF"/>
        </w:rPr>
        <w:t>全面开展领导干部自然资源资产离任（任中）审计</w:t>
      </w:r>
      <w:r>
        <w:t>，生态文明领域治理能力现代化水平显著提升，</w:t>
      </w:r>
      <w:r>
        <w:rPr>
          <w:rFonts w:hint="eastAsia"/>
        </w:rPr>
        <w:t>全面打造与海南自由贸易港定位相适应的生态文明制度体系</w:t>
      </w:r>
      <w:r>
        <w:t>。</w:t>
      </w:r>
    </w:p>
    <w:p>
      <w:pPr>
        <w:ind w:firstLine="562"/>
      </w:pPr>
      <w:r>
        <w:rPr>
          <w:b/>
          <w:bCs/>
        </w:rPr>
        <w:t>——持续改善生态环境质量。</w:t>
      </w:r>
      <w:r>
        <w:t>统筹打好治水</w:t>
      </w:r>
      <w:r>
        <w:rPr>
          <w:rFonts w:hint="eastAsia"/>
        </w:rPr>
        <w:t>、</w:t>
      </w:r>
      <w:r>
        <w:t>治气</w:t>
      </w:r>
      <w:r>
        <w:rPr>
          <w:rFonts w:hint="eastAsia"/>
        </w:rPr>
        <w:t>、</w:t>
      </w:r>
      <w:r>
        <w:t>治土</w:t>
      </w:r>
      <w:r>
        <w:rPr>
          <w:rFonts w:hint="eastAsia"/>
        </w:rPr>
        <w:t>、</w:t>
      </w:r>
      <w:r>
        <w:t>治废</w:t>
      </w:r>
      <w:r>
        <w:rPr>
          <w:rFonts w:hint="eastAsia"/>
        </w:rPr>
        <w:t>、禁</w:t>
      </w:r>
      <w:r>
        <w:t>塑攻坚战，巩固扩大生态环境质量改善成效</w:t>
      </w:r>
      <w:r>
        <w:rPr>
          <w:rFonts w:hint="eastAsia"/>
        </w:rPr>
        <w:t>，生态环境质量保持在全省第一梯度。</w:t>
      </w:r>
      <w:r>
        <w:t>环境空气质量优良天数比例保持在98.9%以上，PM</w:t>
      </w:r>
      <w:r>
        <w:rPr>
          <w:vertAlign w:val="subscript"/>
        </w:rPr>
        <w:t>2.5</w:t>
      </w:r>
      <w:r>
        <w:t>浓度</w:t>
      </w:r>
      <w:r>
        <w:rPr>
          <w:rFonts w:hint="eastAsia"/>
        </w:rPr>
        <w:t>下降至1</w:t>
      </w:r>
      <w:r>
        <w:t>1</w:t>
      </w:r>
      <w:r>
        <w:rPr>
          <w:rFonts w:hint="eastAsia"/>
        </w:rPr>
        <w:t>微克/立方米，</w:t>
      </w:r>
      <w:r>
        <w:t>地表水国控和省控断面水质Ⅲ类及以上比例</w:t>
      </w:r>
      <w:r>
        <w:rPr>
          <w:rFonts w:hint="eastAsia"/>
        </w:rPr>
        <w:t>不低于9</w:t>
      </w:r>
      <w:r>
        <w:t>3.3%</w:t>
      </w:r>
      <w:r>
        <w:rPr>
          <w:rFonts w:hint="eastAsia"/>
        </w:rPr>
        <w:t>且持续改善，</w:t>
      </w:r>
      <w:r>
        <w:t>集中式饮用水水源地水质达标率持续保持100%。城乡宜居品质显著提升，农村生活污水处理设施行政村覆盖率达到66.8%，村镇饮用水卫生合格</w:t>
      </w:r>
      <w:r>
        <w:rPr>
          <w:rFonts w:hint="eastAsia"/>
        </w:rPr>
        <w:t>率维持</w:t>
      </w:r>
      <w:r>
        <w:t>100%</w:t>
      </w:r>
      <w:r>
        <w:rPr>
          <w:rFonts w:hint="eastAsia"/>
        </w:rPr>
        <w:t>不降低</w:t>
      </w:r>
      <w:r>
        <w:t>。</w:t>
      </w:r>
    </w:p>
    <w:p>
      <w:pPr>
        <w:ind w:firstLine="562"/>
      </w:pPr>
      <w:r>
        <w:rPr>
          <w:rFonts w:hint="eastAsia"/>
          <w:b/>
          <w:bCs/>
        </w:rPr>
        <w:t>——不断增强生态系统服务功能。</w:t>
      </w:r>
      <w:r>
        <w:rPr>
          <w:rFonts w:hint="eastAsia"/>
        </w:rPr>
        <w:t>国土空间开发保护格局得到优化，构建“生态保育区、城镇发展区、滨海产业区和海洋功能区”四大功能区，把山区、城镇、产业园区、港口、海洋等要素整合成一个统一、协调的复合系统。“山水林田湖海草沙”系统修复稳步推进，自然生态空间实现面积不减少、性质不改变、功能不降低，河湖岸线得到有效保护，生物多样性不断提高，生态质量指数保持稳定。</w:t>
      </w:r>
    </w:p>
    <w:p>
      <w:pPr>
        <w:ind w:firstLine="562"/>
      </w:pPr>
      <w:r>
        <w:rPr>
          <w:rFonts w:hint="eastAsia"/>
          <w:b/>
          <w:bCs/>
        </w:rPr>
        <w:t>——生态经济取得实质进展。</w:t>
      </w:r>
      <w:r>
        <w:rPr>
          <w:rFonts w:hint="eastAsia"/>
        </w:rPr>
        <w:t>以降碳作为源头治理的总抓手，实施减污降碳协同治理，基本建成现代化产业体系；构建现代化科技体系，努力建设创新型城市，依托信息化平台和智慧应用，赋能经济社会全面发展，绿色低碳循环发展先行区基本建立。能源资源利用效率大幅提高，创新打造海南省综合能源服务示范区，单位地区生产总值能耗、用量稳定下降并完成省下达目标。</w:t>
      </w:r>
    </w:p>
    <w:p>
      <w:pPr>
        <w:ind w:firstLine="560"/>
      </w:pPr>
      <w:r>
        <w:rPr>
          <w:rFonts w:hint="eastAsia"/>
        </w:rPr>
        <w:t>——</w:t>
      </w:r>
      <w:r>
        <w:rPr>
          <w:rFonts w:hint="eastAsia"/>
          <w:b/>
          <w:bCs/>
        </w:rPr>
        <w:t>生态文化特色不断彰显</w:t>
      </w:r>
      <w:r>
        <w:rPr>
          <w:rFonts w:hint="eastAsia"/>
        </w:rPr>
        <w:t>。万宁文化资源丰富，热带海滨风貌特色鲜明。以保护万宁独特的历史文化遗产、构建特色文化资源要素展示体系为核心，依托自然山水本底，强化城乡总体风貌特征，打造特色风貌片区，塑造精品城市空间，彰显国土空间魅力。</w:t>
      </w:r>
    </w:p>
    <w:p>
      <w:pPr>
        <w:ind w:firstLine="560"/>
      </w:pPr>
      <w:r>
        <w:rPr>
          <w:rFonts w:hint="eastAsia"/>
        </w:rPr>
        <w:t>到2030年，人与自然和谐共生，生态产业体系全面建立、现代城市体系不断完善，生态文化体系有效重塑，生态文明建设融入经济社会发展全过程，绿色发展方式和生活方式全面形成，绿色低碳循环发展的美丽经济体系更具活力，靓丽“万宁风景”成为全国生态文明建设的典范。</w:t>
      </w:r>
    </w:p>
    <w:p>
      <w:pPr>
        <w:pStyle w:val="3"/>
      </w:pPr>
      <w:bookmarkStart w:id="19" w:name="_Toc152148705"/>
      <w:r>
        <w:rPr>
          <w:rFonts w:hint="eastAsia"/>
        </w:rPr>
        <w:t>2</w:t>
      </w:r>
      <w:r>
        <w:t>.7 建设</w:t>
      </w:r>
      <w:r>
        <w:rPr>
          <w:rFonts w:hint="eastAsia"/>
        </w:rPr>
        <w:t>指标</w:t>
      </w:r>
      <w:bookmarkEnd w:id="19"/>
    </w:p>
    <w:p>
      <w:pPr>
        <w:ind w:firstLine="562"/>
        <w:rPr>
          <w:rFonts w:cs="仿宋_GB2312"/>
          <w:b/>
          <w:bCs/>
          <w:kern w:val="0"/>
        </w:rPr>
      </w:pPr>
      <w:r>
        <w:rPr>
          <w:rFonts w:hint="eastAsia" w:cs="仿宋_GB2312"/>
          <w:b/>
          <w:bCs/>
          <w:kern w:val="0"/>
        </w:rPr>
        <w:t>（一）指标体系</w:t>
      </w:r>
    </w:p>
    <w:p>
      <w:pPr>
        <w:ind w:firstLine="560"/>
        <w:rPr>
          <w:rFonts w:cs="仿宋_GB2312"/>
          <w:kern w:val="0"/>
        </w:rPr>
      </w:pPr>
      <w:r>
        <w:rPr>
          <w:rFonts w:hint="eastAsia" w:cs="仿宋_GB2312"/>
          <w:kern w:val="0"/>
        </w:rPr>
        <w:t>对照《关于开展第七批生态文明建设示范区和“绿水青山就是金山银山”实践创新基地遴选工作的通知》（环办生态函〔2023〕209号）中43项指标考核要求，结合万宁滨海城市特点，保留“近岸海域水质优良（一、二类）比例”，同时根据“县级市”适用范围去掉</w:t>
      </w:r>
      <w:r>
        <w:rPr>
          <w:rFonts w:cs="仿宋_GB2312"/>
          <w:kern w:val="0"/>
        </w:rPr>
        <w:t>5</w:t>
      </w:r>
      <w:r>
        <w:rPr>
          <w:rFonts w:hint="eastAsia" w:cs="仿宋_GB2312"/>
          <w:kern w:val="0"/>
        </w:rPr>
        <w:t>项，合计3</w:t>
      </w:r>
      <w:r>
        <w:rPr>
          <w:rFonts w:cs="仿宋_GB2312"/>
          <w:kern w:val="0"/>
        </w:rPr>
        <w:t>8</w:t>
      </w:r>
      <w:r>
        <w:rPr>
          <w:rFonts w:hint="eastAsia" w:cs="仿宋_GB2312"/>
          <w:kern w:val="0"/>
        </w:rPr>
        <w:t>项。</w:t>
      </w:r>
      <w:r>
        <w:rPr>
          <w:kern w:val="0"/>
        </w:rPr>
        <w:t>其中</w:t>
      </w:r>
      <w:r>
        <w:rPr>
          <w:rFonts w:hint="eastAsia"/>
          <w:kern w:val="0"/>
        </w:rPr>
        <w:t>3</w:t>
      </w:r>
      <w:r>
        <w:rPr>
          <w:kern w:val="0"/>
        </w:rPr>
        <w:t>1项指标已基本达到创建目标值，达标率为81.6%，需持续优化；3项指标尚未达到国家标准，需加强建设力度；4项指标暂时无现状数据</w:t>
      </w:r>
      <w:bookmarkStart w:id="20" w:name="_Hlk152147711"/>
      <w:r>
        <w:rPr>
          <w:kern w:val="0"/>
        </w:rPr>
        <w:t>，</w:t>
      </w:r>
      <w:r>
        <w:t>需由</w:t>
      </w:r>
      <w:r>
        <w:rPr>
          <w:rFonts w:hint="eastAsia"/>
        </w:rPr>
        <w:t>相关职能</w:t>
      </w:r>
      <w:r>
        <w:t>部门</w:t>
      </w:r>
      <w:r>
        <w:rPr>
          <w:rFonts w:hint="eastAsia"/>
        </w:rPr>
        <w:t>制定数据统计工作方案</w:t>
      </w:r>
      <w:bookmarkEnd w:id="20"/>
      <w:r>
        <w:rPr>
          <w:rFonts w:hint="eastAsia"/>
        </w:rPr>
        <w:t>。万宁市生态文明建设示范区考核指标完成情况见表2</w:t>
      </w:r>
      <w:r>
        <w:t>-1</w:t>
      </w:r>
      <w:r>
        <w:rPr>
          <w:rFonts w:hint="eastAsia"/>
          <w:kern w:val="0"/>
        </w:rPr>
        <w:t>。</w:t>
      </w:r>
    </w:p>
    <w:p>
      <w:pPr>
        <w:ind w:firstLine="560"/>
      </w:pPr>
      <w:r>
        <w:rPr>
          <w:rFonts w:hint="eastAsia"/>
        </w:rPr>
        <w:t>1、</w:t>
      </w:r>
      <w:r>
        <w:t>万宁市创建生态文明</w:t>
      </w:r>
      <w:r>
        <w:rPr>
          <w:rFonts w:hint="eastAsia"/>
        </w:rPr>
        <w:t>建设</w:t>
      </w:r>
      <w:r>
        <w:t>示范区的主要差距指标共3项，分别为：</w:t>
      </w:r>
    </w:p>
    <w:p>
      <w:pPr>
        <w:ind w:left="560" w:firstLine="0" w:firstLineChars="0"/>
      </w:pPr>
      <w:r>
        <w:t>（1）农业废弃物综合利用率（参考性）；</w:t>
      </w:r>
    </w:p>
    <w:p>
      <w:pPr>
        <w:ind w:left="1560" w:firstLine="0" w:firstLineChars="0"/>
      </w:pPr>
      <w:r>
        <w:t>秸秆综合利用率；</w:t>
      </w:r>
    </w:p>
    <w:p>
      <w:pPr>
        <w:ind w:left="560" w:firstLine="0" w:firstLineChars="0"/>
      </w:pPr>
      <w:r>
        <w:t>（2）村镇饮用水卫生合格率（约束性）；</w:t>
      </w:r>
    </w:p>
    <w:p>
      <w:pPr>
        <w:ind w:left="560" w:firstLine="0" w:firstLineChars="0"/>
      </w:pPr>
      <w:r>
        <w:t>（3）农村生活污水治理率（约束性）。</w:t>
      </w:r>
    </w:p>
    <w:p>
      <w:pPr>
        <w:ind w:left="560" w:firstLine="0" w:firstLineChars="0"/>
      </w:pPr>
      <w:r>
        <w:rPr>
          <w:rFonts w:hint="eastAsia"/>
        </w:rPr>
        <w:t>2、</w:t>
      </w:r>
      <w:r>
        <w:t>万宁市创建生态文明</w:t>
      </w:r>
      <w:r>
        <w:rPr>
          <w:rFonts w:hint="eastAsia"/>
        </w:rPr>
        <w:t>建设</w:t>
      </w:r>
      <w:r>
        <w:t>示范区暂无现状数据指标共4项，分别为：</w:t>
      </w:r>
    </w:p>
    <w:p>
      <w:pPr>
        <w:ind w:left="560" w:firstLine="0" w:firstLineChars="0"/>
      </w:pPr>
      <w:bookmarkStart w:id="21" w:name="_Hlk152147723"/>
      <w:r>
        <w:t>（1）海岸生态修复（参考性）</w:t>
      </w:r>
    </w:p>
    <w:p>
      <w:pPr>
        <w:pStyle w:val="51"/>
        <w:numPr>
          <w:ilvl w:val="0"/>
          <w:numId w:val="1"/>
        </w:numPr>
        <w:ind w:firstLineChars="0"/>
        <w:rPr>
          <w:rFonts w:ascii="Times New Roman" w:hAnsi="Times New Roman"/>
        </w:rPr>
      </w:pPr>
      <w:r>
        <w:rPr>
          <w:rFonts w:ascii="Times New Roman" w:hAnsi="Times New Roman"/>
        </w:rPr>
        <w:t>自然岸线修复长度</w:t>
      </w:r>
    </w:p>
    <w:p>
      <w:pPr>
        <w:pStyle w:val="51"/>
        <w:numPr>
          <w:ilvl w:val="0"/>
          <w:numId w:val="1"/>
        </w:numPr>
        <w:ind w:firstLineChars="0"/>
        <w:rPr>
          <w:rFonts w:ascii="Times New Roman" w:hAnsi="Times New Roman"/>
        </w:rPr>
      </w:pPr>
      <w:r>
        <w:rPr>
          <w:rFonts w:ascii="Times New Roman" w:hAnsi="Times New Roman"/>
        </w:rPr>
        <w:t>滨海湿地修复面积；</w:t>
      </w:r>
    </w:p>
    <w:p>
      <w:pPr>
        <w:ind w:left="560" w:firstLine="0" w:firstLineChars="0"/>
      </w:pPr>
      <w:r>
        <w:t>（2）政府绿色采购比例（约束性）；</w:t>
      </w:r>
    </w:p>
    <w:p>
      <w:pPr>
        <w:ind w:left="560" w:firstLine="0" w:firstLineChars="0"/>
      </w:pPr>
      <w:r>
        <w:t>（3）公众对生态文明建设的满意度（参考性）；</w:t>
      </w:r>
    </w:p>
    <w:p>
      <w:pPr>
        <w:ind w:left="560" w:firstLine="0" w:firstLineChars="0"/>
      </w:pPr>
      <w:r>
        <w:t>（4）公众对生态文明建设的参与度（参考性）。</w:t>
      </w:r>
    </w:p>
    <w:bookmarkEnd w:id="21"/>
    <w:p>
      <w:pPr>
        <w:pStyle w:val="51"/>
        <w:ind w:left="1000" w:firstLine="0" w:firstLineChars="0"/>
        <w:rPr>
          <w:rFonts w:ascii="Times New Roman" w:hAnsi="Times New Roman"/>
        </w:rPr>
      </w:pPr>
    </w:p>
    <w:p>
      <w:pPr>
        <w:ind w:firstLine="560"/>
        <w:sectPr>
          <w:footerReference r:id="rId12" w:type="default"/>
          <w:pgSz w:w="11906" w:h="16838"/>
          <w:pgMar w:top="1440" w:right="1800" w:bottom="1440" w:left="1800" w:header="851" w:footer="992" w:gutter="0"/>
          <w:pgNumType w:start="1"/>
          <w:cols w:space="720" w:num="1"/>
          <w:docGrid w:type="lines" w:linePitch="312" w:charSpace="0"/>
        </w:sectPr>
      </w:pPr>
    </w:p>
    <w:p>
      <w:pPr>
        <w:ind w:firstLine="562"/>
        <w:jc w:val="center"/>
        <w:rPr>
          <w:b/>
          <w:szCs w:val="28"/>
        </w:rPr>
      </w:pPr>
      <w:bookmarkStart w:id="22" w:name="_Hlk131645650"/>
      <w:r>
        <w:rPr>
          <w:b/>
          <w:szCs w:val="28"/>
        </w:rPr>
        <w:t xml:space="preserve">表2-1 </w:t>
      </w:r>
      <w:r>
        <w:rPr>
          <w:rFonts w:hint="eastAsia"/>
          <w:b/>
          <w:szCs w:val="28"/>
        </w:rPr>
        <w:t>万宁市</w:t>
      </w:r>
      <w:r>
        <w:rPr>
          <w:b/>
          <w:szCs w:val="28"/>
        </w:rPr>
        <w:t>生态文明建设示范区指标体系</w:t>
      </w:r>
    </w:p>
    <w:bookmarkEnd w:id="22"/>
    <w:tbl>
      <w:tblPr>
        <w:tblStyle w:val="28"/>
        <w:tblW w:w="139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67"/>
        <w:gridCol w:w="709"/>
        <w:gridCol w:w="567"/>
        <w:gridCol w:w="2835"/>
        <w:gridCol w:w="709"/>
        <w:gridCol w:w="1134"/>
        <w:gridCol w:w="850"/>
        <w:gridCol w:w="864"/>
        <w:gridCol w:w="1546"/>
        <w:gridCol w:w="1418"/>
        <w:gridCol w:w="680"/>
        <w:gridCol w:w="109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Align w:val="center"/>
          </w:tcPr>
          <w:p>
            <w:pPr>
              <w:widowControl/>
              <w:spacing w:line="240" w:lineRule="auto"/>
              <w:ind w:firstLine="0" w:firstLineChars="0"/>
              <w:jc w:val="center"/>
              <w:rPr>
                <w:sz w:val="15"/>
                <w:szCs w:val="15"/>
              </w:rPr>
            </w:pPr>
            <w:bookmarkStart w:id="23" w:name="_Hlk149205735"/>
            <w:r>
              <w:rPr>
                <w:rFonts w:hint="eastAsia"/>
                <w:sz w:val="15"/>
                <w:szCs w:val="15"/>
              </w:rPr>
              <w:t>领域</w:t>
            </w:r>
          </w:p>
        </w:tc>
        <w:tc>
          <w:tcPr>
            <w:tcW w:w="709" w:type="dxa"/>
            <w:vAlign w:val="center"/>
          </w:tcPr>
          <w:p>
            <w:pPr>
              <w:widowControl/>
              <w:spacing w:line="240" w:lineRule="auto"/>
              <w:ind w:firstLine="0" w:firstLineChars="0"/>
              <w:jc w:val="center"/>
              <w:rPr>
                <w:sz w:val="15"/>
                <w:szCs w:val="15"/>
              </w:rPr>
            </w:pPr>
            <w:r>
              <w:rPr>
                <w:rFonts w:hint="eastAsia"/>
                <w:sz w:val="15"/>
                <w:szCs w:val="15"/>
              </w:rPr>
              <w:t>任务</w:t>
            </w:r>
          </w:p>
        </w:tc>
        <w:tc>
          <w:tcPr>
            <w:tcW w:w="567" w:type="dxa"/>
            <w:vAlign w:val="center"/>
          </w:tcPr>
          <w:p>
            <w:pPr>
              <w:widowControl/>
              <w:spacing w:line="240" w:lineRule="auto"/>
              <w:ind w:firstLine="0" w:firstLineChars="0"/>
              <w:jc w:val="center"/>
              <w:rPr>
                <w:sz w:val="15"/>
                <w:szCs w:val="15"/>
              </w:rPr>
            </w:pPr>
            <w:r>
              <w:rPr>
                <w:rFonts w:hint="eastAsia"/>
                <w:sz w:val="15"/>
                <w:szCs w:val="15"/>
              </w:rPr>
              <w:t>序号</w:t>
            </w:r>
          </w:p>
        </w:tc>
        <w:tc>
          <w:tcPr>
            <w:tcW w:w="2835" w:type="dxa"/>
            <w:vAlign w:val="center"/>
          </w:tcPr>
          <w:p>
            <w:pPr>
              <w:widowControl/>
              <w:spacing w:line="240" w:lineRule="auto"/>
              <w:ind w:firstLine="0" w:firstLineChars="0"/>
              <w:jc w:val="center"/>
              <w:rPr>
                <w:sz w:val="15"/>
                <w:szCs w:val="15"/>
              </w:rPr>
            </w:pPr>
            <w:r>
              <w:rPr>
                <w:rFonts w:hint="eastAsia"/>
                <w:sz w:val="15"/>
                <w:szCs w:val="15"/>
              </w:rPr>
              <w:t>指标名称</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单位</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指标值</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指标属性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适用范围</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现状值</w:t>
            </w: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022</w:t>
            </w:r>
            <w:r>
              <w:rPr>
                <w:rFonts w:hint="eastAsia"/>
                <w:color w:val="000000" w:themeColor="text1"/>
                <w:sz w:val="15"/>
                <w:szCs w:val="15"/>
                <w14:textFill>
                  <w14:solidFill>
                    <w14:schemeClr w14:val="tx1"/>
                  </w14:solidFill>
                </w14:textFill>
              </w:rPr>
              <w:t>）</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目标值</w:t>
            </w: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025</w:t>
            </w:r>
            <w:r>
              <w:rPr>
                <w:rFonts w:hint="eastAsia"/>
                <w:color w:val="000000" w:themeColor="text1"/>
                <w:sz w:val="15"/>
                <w:szCs w:val="15"/>
                <w14:textFill>
                  <w14:solidFill>
                    <w14:schemeClr w14:val="tx1"/>
                  </w14:solidFill>
                </w14:textFill>
              </w:rPr>
              <w:t>）</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现状是否达标</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远期目标</w:t>
            </w: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030</w:t>
            </w:r>
            <w:r>
              <w:rPr>
                <w:rFonts w:hint="eastAsia"/>
                <w:color w:val="000000" w:themeColor="text1"/>
                <w:sz w:val="15"/>
                <w:szCs w:val="15"/>
                <w14:textFill>
                  <w14:solidFill>
                    <w14:schemeClr w14:val="tx1"/>
                  </w14:solidFill>
                </w14:textFill>
              </w:rPr>
              <w:t>年）</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4" w:hRule="atLeast"/>
        </w:trPr>
        <w:tc>
          <w:tcPr>
            <w:tcW w:w="567" w:type="dxa"/>
            <w:vMerge w:val="restart"/>
            <w:vAlign w:val="center"/>
          </w:tcPr>
          <w:p>
            <w:pPr>
              <w:widowControl/>
              <w:spacing w:line="240" w:lineRule="auto"/>
              <w:ind w:firstLine="0" w:firstLineChars="0"/>
              <w:jc w:val="left"/>
              <w:rPr>
                <w:sz w:val="15"/>
                <w:szCs w:val="15"/>
              </w:rPr>
            </w:pPr>
            <w:r>
              <w:rPr>
                <w:rFonts w:hint="eastAsia"/>
                <w:sz w:val="15"/>
                <w:szCs w:val="15"/>
              </w:rPr>
              <w:t>生态制度</w:t>
            </w:r>
          </w:p>
        </w:tc>
        <w:tc>
          <w:tcPr>
            <w:tcW w:w="709" w:type="dxa"/>
            <w:vMerge w:val="restart"/>
            <w:vAlign w:val="center"/>
          </w:tcPr>
          <w:p>
            <w:pPr>
              <w:widowControl/>
              <w:spacing w:line="240" w:lineRule="auto"/>
              <w:ind w:firstLine="0" w:firstLineChars="0"/>
              <w:jc w:val="left"/>
              <w:rPr>
                <w:sz w:val="15"/>
                <w:szCs w:val="15"/>
              </w:rPr>
            </w:pPr>
            <w:r>
              <w:rPr>
                <w:rFonts w:hint="eastAsia"/>
                <w:sz w:val="15"/>
                <w:szCs w:val="15"/>
              </w:rPr>
              <w:t>（一）</w:t>
            </w:r>
          </w:p>
          <w:p>
            <w:pPr>
              <w:widowControl/>
              <w:spacing w:line="240" w:lineRule="auto"/>
              <w:ind w:firstLine="0" w:firstLineChars="0"/>
              <w:jc w:val="left"/>
              <w:rPr>
                <w:sz w:val="15"/>
                <w:szCs w:val="15"/>
              </w:rPr>
            </w:pPr>
            <w:r>
              <w:rPr>
                <w:rFonts w:hint="eastAsia"/>
                <w:sz w:val="15"/>
                <w:szCs w:val="15"/>
              </w:rPr>
              <w:t>目标责任体系与制度建立</w:t>
            </w:r>
          </w:p>
        </w:tc>
        <w:tc>
          <w:tcPr>
            <w:tcW w:w="567" w:type="dxa"/>
            <w:vAlign w:val="center"/>
          </w:tcPr>
          <w:p>
            <w:pPr>
              <w:widowControl/>
              <w:spacing w:line="240" w:lineRule="auto"/>
              <w:ind w:firstLine="0" w:firstLineChars="0"/>
              <w:jc w:val="center"/>
              <w:rPr>
                <w:sz w:val="15"/>
                <w:szCs w:val="15"/>
              </w:rPr>
            </w:pPr>
            <w:r>
              <w:rPr>
                <w:rFonts w:hint="eastAsia"/>
                <w:sz w:val="15"/>
                <w:szCs w:val="15"/>
              </w:rPr>
              <w:t>1</w:t>
            </w:r>
          </w:p>
        </w:tc>
        <w:tc>
          <w:tcPr>
            <w:tcW w:w="2835" w:type="dxa"/>
            <w:vAlign w:val="center"/>
          </w:tcPr>
          <w:p>
            <w:pPr>
              <w:widowControl/>
              <w:spacing w:line="240" w:lineRule="auto"/>
              <w:ind w:firstLine="0" w:firstLineChars="0"/>
              <w:jc w:val="left"/>
              <w:rPr>
                <w:sz w:val="15"/>
                <w:szCs w:val="15"/>
              </w:rPr>
            </w:pPr>
            <w:r>
              <w:rPr>
                <w:rFonts w:hint="eastAsia"/>
                <w:sz w:val="15"/>
                <w:szCs w:val="15"/>
              </w:rPr>
              <w:t>生态文明建设规划</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制定实施</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制定实施</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制定实施</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制定实施</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2</w:t>
            </w:r>
          </w:p>
        </w:tc>
        <w:tc>
          <w:tcPr>
            <w:tcW w:w="2835" w:type="dxa"/>
          </w:tcPr>
          <w:p>
            <w:pPr>
              <w:widowControl/>
              <w:spacing w:line="240" w:lineRule="auto"/>
              <w:ind w:firstLine="0" w:firstLineChars="0"/>
              <w:jc w:val="left"/>
              <w:rPr>
                <w:sz w:val="15"/>
                <w:szCs w:val="15"/>
              </w:rPr>
            </w:pPr>
            <w:r>
              <w:rPr>
                <w:rFonts w:hint="eastAsia"/>
                <w:sz w:val="15"/>
                <w:szCs w:val="15"/>
              </w:rPr>
              <w:t>党委政府对生态文明建设重大目标任务部署情况</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有效开展</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有效开展</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有效开展</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有效开展</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3</w:t>
            </w:r>
          </w:p>
        </w:tc>
        <w:tc>
          <w:tcPr>
            <w:tcW w:w="2835" w:type="dxa"/>
          </w:tcPr>
          <w:p>
            <w:pPr>
              <w:widowControl/>
              <w:spacing w:line="240" w:lineRule="auto"/>
              <w:ind w:firstLine="0" w:firstLineChars="0"/>
              <w:jc w:val="left"/>
              <w:rPr>
                <w:sz w:val="15"/>
                <w:szCs w:val="15"/>
              </w:rPr>
            </w:pPr>
            <w:r>
              <w:rPr>
                <w:rFonts w:hint="eastAsia"/>
                <w:sz w:val="15"/>
                <w:szCs w:val="15"/>
              </w:rPr>
              <w:t>生态文明建设工作占党政实绩考核比例</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2</w:t>
            </w:r>
          </w:p>
        </w:tc>
        <w:tc>
          <w:tcPr>
            <w:tcW w:w="1418" w:type="dxa"/>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2</w:t>
            </w:r>
          </w:p>
        </w:tc>
        <w:tc>
          <w:tcPr>
            <w:tcW w:w="680" w:type="dxa"/>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≥2</w:t>
            </w:r>
            <w:r>
              <w:rPr>
                <w:color w:val="000000" w:themeColor="text1"/>
                <w:sz w:val="15"/>
                <w:szCs w:val="15"/>
                <w14:textFill>
                  <w14:solidFill>
                    <w14:schemeClr w14:val="tx1"/>
                  </w14:solidFill>
                </w14:textFill>
              </w:rPr>
              <w:t>2</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4</w:t>
            </w:r>
          </w:p>
        </w:tc>
        <w:tc>
          <w:tcPr>
            <w:tcW w:w="2835" w:type="dxa"/>
            <w:vAlign w:val="center"/>
          </w:tcPr>
          <w:p>
            <w:pPr>
              <w:widowControl/>
              <w:spacing w:line="240" w:lineRule="auto"/>
              <w:ind w:firstLine="0" w:firstLineChars="0"/>
              <w:jc w:val="left"/>
              <w:rPr>
                <w:sz w:val="15"/>
                <w:szCs w:val="15"/>
              </w:rPr>
            </w:pPr>
            <w:r>
              <w:rPr>
                <w:rFonts w:hint="eastAsia"/>
                <w:sz w:val="15"/>
                <w:szCs w:val="15"/>
              </w:rPr>
              <w:t>河长制</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全面实施</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全面实施</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全面实施</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全面实施</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5</w:t>
            </w:r>
          </w:p>
        </w:tc>
        <w:tc>
          <w:tcPr>
            <w:tcW w:w="2835" w:type="dxa"/>
            <w:vAlign w:val="center"/>
          </w:tcPr>
          <w:p>
            <w:pPr>
              <w:widowControl/>
              <w:spacing w:line="240" w:lineRule="auto"/>
              <w:ind w:firstLine="0" w:firstLineChars="0"/>
              <w:jc w:val="left"/>
              <w:rPr>
                <w:sz w:val="15"/>
                <w:szCs w:val="15"/>
              </w:rPr>
            </w:pPr>
            <w:r>
              <w:rPr>
                <w:rFonts w:hint="eastAsia"/>
                <w:sz w:val="15"/>
                <w:szCs w:val="15"/>
              </w:rPr>
              <w:t>生态环境信息公开率</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6</w:t>
            </w:r>
          </w:p>
        </w:tc>
        <w:tc>
          <w:tcPr>
            <w:tcW w:w="2835" w:type="dxa"/>
            <w:vAlign w:val="center"/>
          </w:tcPr>
          <w:p>
            <w:pPr>
              <w:widowControl/>
              <w:spacing w:line="240" w:lineRule="auto"/>
              <w:ind w:firstLine="0" w:firstLineChars="0"/>
              <w:jc w:val="left"/>
              <w:rPr>
                <w:sz w:val="15"/>
                <w:szCs w:val="15"/>
              </w:rPr>
            </w:pPr>
            <w:r>
              <w:rPr>
                <w:rFonts w:hint="eastAsia"/>
                <w:sz w:val="15"/>
                <w:szCs w:val="15"/>
              </w:rPr>
              <w:t>依法开展规划环境影响评价</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8" w:hRule="atLeast"/>
        </w:trPr>
        <w:tc>
          <w:tcPr>
            <w:tcW w:w="567" w:type="dxa"/>
            <w:vMerge w:val="restart"/>
            <w:vAlign w:val="center"/>
          </w:tcPr>
          <w:p>
            <w:pPr>
              <w:widowControl/>
              <w:spacing w:line="240" w:lineRule="auto"/>
              <w:ind w:firstLine="0" w:firstLineChars="0"/>
              <w:jc w:val="left"/>
              <w:rPr>
                <w:sz w:val="15"/>
                <w:szCs w:val="15"/>
              </w:rPr>
            </w:pPr>
            <w:r>
              <w:rPr>
                <w:rFonts w:hint="eastAsia"/>
                <w:sz w:val="15"/>
                <w:szCs w:val="15"/>
              </w:rPr>
              <w:t>生态安全</w:t>
            </w:r>
          </w:p>
        </w:tc>
        <w:tc>
          <w:tcPr>
            <w:tcW w:w="709" w:type="dxa"/>
            <w:vMerge w:val="restart"/>
            <w:vAlign w:val="center"/>
          </w:tcPr>
          <w:p>
            <w:pPr>
              <w:widowControl/>
              <w:spacing w:line="240" w:lineRule="auto"/>
              <w:ind w:firstLine="0" w:firstLineChars="0"/>
              <w:jc w:val="left"/>
              <w:rPr>
                <w:sz w:val="15"/>
                <w:szCs w:val="15"/>
              </w:rPr>
            </w:pPr>
            <w:r>
              <w:rPr>
                <w:rFonts w:hint="eastAsia"/>
                <w:sz w:val="15"/>
                <w:szCs w:val="15"/>
              </w:rPr>
              <w:t>（二）</w:t>
            </w:r>
          </w:p>
          <w:p>
            <w:pPr>
              <w:widowControl/>
              <w:spacing w:line="240" w:lineRule="auto"/>
              <w:ind w:firstLine="0" w:firstLineChars="0"/>
              <w:jc w:val="left"/>
              <w:rPr>
                <w:sz w:val="15"/>
                <w:szCs w:val="15"/>
              </w:rPr>
            </w:pPr>
            <w:r>
              <w:rPr>
                <w:rFonts w:hint="eastAsia"/>
                <w:sz w:val="15"/>
                <w:szCs w:val="15"/>
              </w:rPr>
              <w:t>生态环境质量改善</w:t>
            </w:r>
          </w:p>
        </w:tc>
        <w:tc>
          <w:tcPr>
            <w:tcW w:w="567" w:type="dxa"/>
            <w:vAlign w:val="center"/>
          </w:tcPr>
          <w:p>
            <w:pPr>
              <w:spacing w:line="240" w:lineRule="auto"/>
              <w:ind w:firstLine="0" w:firstLineChars="0"/>
              <w:jc w:val="center"/>
              <w:rPr>
                <w:sz w:val="15"/>
                <w:szCs w:val="15"/>
              </w:rPr>
            </w:pPr>
            <w:r>
              <w:rPr>
                <w:rFonts w:hint="eastAsia"/>
                <w:sz w:val="15"/>
                <w:szCs w:val="15"/>
              </w:rPr>
              <w:t>7</w:t>
            </w:r>
          </w:p>
        </w:tc>
        <w:tc>
          <w:tcPr>
            <w:tcW w:w="2835" w:type="dxa"/>
            <w:vAlign w:val="center"/>
          </w:tcPr>
          <w:p>
            <w:pPr>
              <w:widowControl/>
              <w:spacing w:line="240" w:lineRule="auto"/>
              <w:ind w:firstLine="0" w:firstLineChars="0"/>
              <w:jc w:val="left"/>
              <w:rPr>
                <w:b/>
                <w:bCs/>
                <w:sz w:val="15"/>
                <w:szCs w:val="15"/>
              </w:rPr>
            </w:pPr>
            <w:r>
              <w:rPr>
                <w:rFonts w:hint="eastAsia"/>
                <w:b/>
                <w:bCs/>
                <w:sz w:val="15"/>
                <w:szCs w:val="15"/>
              </w:rPr>
              <w:t>环境空气质量</w:t>
            </w:r>
          </w:p>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1 \* GB3</w:instrText>
            </w:r>
            <w:r>
              <w:rPr>
                <w:sz w:val="15"/>
                <w:szCs w:val="15"/>
              </w:rPr>
              <w:instrText xml:space="preserve"> </w:instrText>
            </w:r>
            <w:r>
              <w:rPr>
                <w:sz w:val="15"/>
                <w:szCs w:val="15"/>
              </w:rPr>
              <w:fldChar w:fldCharType="separate"/>
            </w:r>
            <w:r>
              <w:rPr>
                <w:rFonts w:hint="eastAsia"/>
                <w:sz w:val="15"/>
                <w:szCs w:val="15"/>
              </w:rPr>
              <w:t>①</w:t>
            </w:r>
            <w:r>
              <w:rPr>
                <w:sz w:val="15"/>
                <w:szCs w:val="15"/>
              </w:rPr>
              <w:fldChar w:fldCharType="end"/>
            </w:r>
            <w:r>
              <w:rPr>
                <w:rFonts w:hint="eastAsia"/>
                <w:sz w:val="15"/>
                <w:szCs w:val="15"/>
              </w:rPr>
              <w:t>优良天数比例</w:t>
            </w:r>
          </w:p>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2 \* GB3</w:instrText>
            </w:r>
            <w:r>
              <w:rPr>
                <w:sz w:val="15"/>
                <w:szCs w:val="15"/>
              </w:rPr>
              <w:instrText xml:space="preserve"> </w:instrText>
            </w:r>
            <w:r>
              <w:rPr>
                <w:sz w:val="15"/>
                <w:szCs w:val="15"/>
              </w:rPr>
              <w:fldChar w:fldCharType="separate"/>
            </w:r>
            <w:r>
              <w:rPr>
                <w:rFonts w:hint="eastAsia"/>
                <w:sz w:val="15"/>
                <w:szCs w:val="15"/>
              </w:rPr>
              <w:t>②</w:t>
            </w:r>
            <w:r>
              <w:rPr>
                <w:sz w:val="15"/>
                <w:szCs w:val="15"/>
              </w:rPr>
              <w:fldChar w:fldCharType="end"/>
            </w:r>
            <w:r>
              <w:rPr>
                <w:rFonts w:hint="eastAsia"/>
                <w:sz w:val="15"/>
                <w:szCs w:val="15"/>
              </w:rPr>
              <w:t>PM</w:t>
            </w:r>
            <w:r>
              <w:rPr>
                <w:rFonts w:hint="eastAsia"/>
                <w:sz w:val="15"/>
                <w:szCs w:val="15"/>
                <w:vertAlign w:val="subscript"/>
              </w:rPr>
              <w:t>2.5</w:t>
            </w:r>
            <w:r>
              <w:rPr>
                <w:rFonts w:hint="eastAsia"/>
                <w:sz w:val="15"/>
                <w:szCs w:val="15"/>
              </w:rPr>
              <w:t>浓度下降幅度</w:t>
            </w:r>
          </w:p>
        </w:tc>
        <w:tc>
          <w:tcPr>
            <w:tcW w:w="709"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完成上级规定的考核任务；保持稳定或持续改善</w:t>
            </w:r>
          </w:p>
        </w:tc>
        <w:tc>
          <w:tcPr>
            <w:tcW w:w="850"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9</w:t>
            </w:r>
            <w:r>
              <w:rPr>
                <w:color w:val="000000" w:themeColor="text1"/>
                <w:sz w:val="15"/>
                <w:szCs w:val="15"/>
                <w14:textFill>
                  <w14:solidFill>
                    <w14:schemeClr w14:val="tx1"/>
                  </w14:solidFill>
                </w14:textFill>
              </w:rPr>
              <w:t>8.9%</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color w:val="000000" w:themeColor="text1"/>
                <w:sz w:val="15"/>
                <w:szCs w:val="15"/>
                <w14:textFill>
                  <w14:solidFill>
                    <w14:schemeClr w14:val="tx1"/>
                  </w14:solidFill>
                </w14:textFill>
              </w:rPr>
              <w:t>-8.33%</w:t>
            </w:r>
          </w:p>
        </w:tc>
        <w:tc>
          <w:tcPr>
            <w:tcW w:w="1418"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≥9</w:t>
            </w:r>
            <w:r>
              <w:rPr>
                <w:color w:val="000000" w:themeColor="text1"/>
                <w:sz w:val="15"/>
                <w:szCs w:val="15"/>
                <w14:textFill>
                  <w14:solidFill>
                    <w14:schemeClr w14:val="tx1"/>
                  </w14:solidFill>
                </w14:textFill>
              </w:rPr>
              <w:t>8.9%</w:t>
            </w:r>
          </w:p>
          <w:p>
            <w:pPr>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11</w:t>
            </w:r>
            <w:r>
              <w:rPr>
                <w:rFonts w:hint="eastAsia"/>
                <w:color w:val="000000" w:themeColor="text1"/>
                <w:sz w:val="15"/>
                <w:szCs w:val="15"/>
                <w14:textFill>
                  <w14:solidFill>
                    <w14:schemeClr w14:val="tx1"/>
                  </w14:solidFill>
                </w14:textFill>
              </w:rPr>
              <w:t>u</w:t>
            </w:r>
            <w:r>
              <w:rPr>
                <w:color w:val="000000" w:themeColor="text1"/>
                <w:sz w:val="15"/>
                <w:szCs w:val="15"/>
                <w14:textFill>
                  <w14:solidFill>
                    <w14:schemeClr w14:val="tx1"/>
                  </w14:solidFill>
                </w14:textFill>
              </w:rPr>
              <w:t>g</w:t>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m</w:t>
            </w:r>
            <w:r>
              <w:rPr>
                <w:color w:val="000000" w:themeColor="text1"/>
                <w:sz w:val="15"/>
                <w:szCs w:val="15"/>
                <w:vertAlign w:val="superscript"/>
                <w14:textFill>
                  <w14:solidFill>
                    <w14:schemeClr w14:val="tx1"/>
                  </w14:solidFill>
                </w14:textFill>
              </w:rPr>
              <w:t>3</w:t>
            </w:r>
          </w:p>
        </w:tc>
        <w:tc>
          <w:tcPr>
            <w:tcW w:w="680"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tcPr>
          <w:p>
            <w:pPr>
              <w:spacing w:line="240" w:lineRule="auto"/>
              <w:ind w:firstLine="0" w:firstLineChars="0"/>
              <w:jc w:val="center"/>
              <w:rPr>
                <w:color w:val="000000" w:themeColor="text1"/>
                <w:sz w:val="15"/>
                <w:szCs w:val="15"/>
                <w14:textFill>
                  <w14:solidFill>
                    <w14:schemeClr w14:val="tx1"/>
                  </w14:solidFill>
                </w14:textFill>
              </w:rPr>
            </w:pPr>
          </w:p>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完成上级规定的考核任务</w:t>
            </w:r>
          </w:p>
        </w:tc>
        <w:tc>
          <w:tcPr>
            <w:tcW w:w="978"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8" w:hRule="atLeast"/>
        </w:trPr>
        <w:tc>
          <w:tcPr>
            <w:tcW w:w="567" w:type="dxa"/>
            <w:vMerge w:val="continue"/>
            <w:vAlign w:val="center"/>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spacing w:line="240" w:lineRule="auto"/>
              <w:ind w:firstLine="0" w:firstLineChars="0"/>
              <w:jc w:val="center"/>
              <w:rPr>
                <w:sz w:val="15"/>
                <w:szCs w:val="15"/>
              </w:rPr>
            </w:pPr>
            <w:r>
              <w:rPr>
                <w:rFonts w:hint="eastAsia"/>
                <w:sz w:val="15"/>
                <w:szCs w:val="15"/>
              </w:rPr>
              <w:t>8</w:t>
            </w:r>
          </w:p>
        </w:tc>
        <w:tc>
          <w:tcPr>
            <w:tcW w:w="2835" w:type="dxa"/>
            <w:vAlign w:val="center"/>
          </w:tcPr>
          <w:p>
            <w:pPr>
              <w:widowControl/>
              <w:spacing w:line="240" w:lineRule="auto"/>
              <w:ind w:firstLine="0" w:firstLineChars="0"/>
              <w:jc w:val="left"/>
              <w:rPr>
                <w:b/>
                <w:bCs/>
                <w:sz w:val="15"/>
                <w:szCs w:val="15"/>
              </w:rPr>
            </w:pPr>
            <w:r>
              <w:rPr>
                <w:rFonts w:hint="eastAsia"/>
                <w:b/>
                <w:bCs/>
                <w:sz w:val="15"/>
                <w:szCs w:val="15"/>
              </w:rPr>
              <w:t>水环境质量</w:t>
            </w:r>
          </w:p>
          <w:p>
            <w:pPr>
              <w:widowControl/>
              <w:spacing w:line="240" w:lineRule="auto"/>
              <w:ind w:firstLine="0" w:firstLineChars="0"/>
              <w:jc w:val="left"/>
              <w:rPr>
                <w:sz w:val="15"/>
                <w:szCs w:val="15"/>
              </w:rPr>
            </w:pPr>
            <w:bookmarkStart w:id="24" w:name="_Hlk131689983"/>
            <w:r>
              <w:rPr>
                <w:sz w:val="15"/>
                <w:szCs w:val="15"/>
              </w:rPr>
              <w:fldChar w:fldCharType="begin"/>
            </w:r>
            <w:r>
              <w:rPr>
                <w:sz w:val="15"/>
                <w:szCs w:val="15"/>
              </w:rPr>
              <w:instrText xml:space="preserve"> </w:instrText>
            </w:r>
            <w:r>
              <w:rPr>
                <w:rFonts w:hint="eastAsia"/>
                <w:sz w:val="15"/>
                <w:szCs w:val="15"/>
              </w:rPr>
              <w:instrText xml:space="preserve">= 1 \* GB3</w:instrText>
            </w:r>
            <w:r>
              <w:rPr>
                <w:sz w:val="15"/>
                <w:szCs w:val="15"/>
              </w:rPr>
              <w:instrText xml:space="preserve"> </w:instrText>
            </w:r>
            <w:r>
              <w:rPr>
                <w:sz w:val="15"/>
                <w:szCs w:val="15"/>
              </w:rPr>
              <w:fldChar w:fldCharType="separate"/>
            </w:r>
            <w:r>
              <w:rPr>
                <w:rFonts w:hint="eastAsia"/>
                <w:sz w:val="15"/>
                <w:szCs w:val="15"/>
              </w:rPr>
              <w:t>①</w:t>
            </w:r>
            <w:r>
              <w:rPr>
                <w:sz w:val="15"/>
                <w:szCs w:val="15"/>
              </w:rPr>
              <w:fldChar w:fldCharType="end"/>
            </w:r>
            <w:r>
              <w:rPr>
                <w:rFonts w:hint="eastAsia"/>
                <w:sz w:val="15"/>
                <w:szCs w:val="15"/>
              </w:rPr>
              <w:t>水质达到或优于Ⅲ类比例提高幅度</w:t>
            </w:r>
          </w:p>
          <w:bookmarkEnd w:id="24"/>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2 \* GB3</w:instrText>
            </w:r>
            <w:r>
              <w:rPr>
                <w:sz w:val="15"/>
                <w:szCs w:val="15"/>
              </w:rPr>
              <w:instrText xml:space="preserve"> </w:instrText>
            </w:r>
            <w:r>
              <w:rPr>
                <w:sz w:val="15"/>
                <w:szCs w:val="15"/>
              </w:rPr>
              <w:fldChar w:fldCharType="separate"/>
            </w:r>
            <w:r>
              <w:rPr>
                <w:rFonts w:hint="eastAsia"/>
                <w:sz w:val="15"/>
                <w:szCs w:val="15"/>
              </w:rPr>
              <w:t>②</w:t>
            </w:r>
            <w:r>
              <w:rPr>
                <w:sz w:val="15"/>
                <w:szCs w:val="15"/>
              </w:rPr>
              <w:fldChar w:fldCharType="end"/>
            </w:r>
            <w:r>
              <w:rPr>
                <w:rFonts w:hint="eastAsia"/>
                <w:sz w:val="15"/>
                <w:szCs w:val="15"/>
              </w:rPr>
              <w:t>劣V类水体比例下降幅度</w:t>
            </w:r>
          </w:p>
          <w:p>
            <w:pPr>
              <w:widowControl/>
              <w:spacing w:line="240" w:lineRule="auto"/>
              <w:ind w:firstLine="0" w:firstLineChars="0"/>
              <w:jc w:val="left"/>
              <w:rPr>
                <w:b/>
                <w:bCs/>
                <w:sz w:val="15"/>
                <w:szCs w:val="15"/>
              </w:rPr>
            </w:pPr>
            <w:bookmarkStart w:id="25" w:name="_Hlk131690000"/>
            <w:r>
              <w:rPr>
                <w:sz w:val="15"/>
                <w:szCs w:val="15"/>
              </w:rPr>
              <w:fldChar w:fldCharType="begin"/>
            </w:r>
            <w:r>
              <w:rPr>
                <w:sz w:val="15"/>
                <w:szCs w:val="15"/>
              </w:rPr>
              <w:instrText xml:space="preserve"> </w:instrText>
            </w:r>
            <w:r>
              <w:rPr>
                <w:rFonts w:hint="eastAsia"/>
                <w:sz w:val="15"/>
                <w:szCs w:val="15"/>
              </w:rPr>
              <w:instrText xml:space="preserve">= 3 \* GB3</w:instrText>
            </w:r>
            <w:r>
              <w:rPr>
                <w:sz w:val="15"/>
                <w:szCs w:val="15"/>
              </w:rPr>
              <w:instrText xml:space="preserve"> </w:instrText>
            </w:r>
            <w:r>
              <w:rPr>
                <w:sz w:val="15"/>
                <w:szCs w:val="15"/>
              </w:rPr>
              <w:fldChar w:fldCharType="separate"/>
            </w:r>
            <w:r>
              <w:rPr>
                <w:rFonts w:hint="eastAsia"/>
                <w:sz w:val="15"/>
                <w:szCs w:val="15"/>
              </w:rPr>
              <w:t>③</w:t>
            </w:r>
            <w:r>
              <w:rPr>
                <w:sz w:val="15"/>
                <w:szCs w:val="15"/>
              </w:rPr>
              <w:fldChar w:fldCharType="end"/>
            </w:r>
            <w:r>
              <w:rPr>
                <w:rFonts w:hint="eastAsia"/>
                <w:sz w:val="15"/>
                <w:szCs w:val="15"/>
              </w:rPr>
              <w:t>黑臭水体消除比例</w:t>
            </w:r>
            <w:bookmarkEnd w:id="25"/>
          </w:p>
        </w:tc>
        <w:tc>
          <w:tcPr>
            <w:tcW w:w="709"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完成上级规定的考核任务；保持稳定或持续改善</w:t>
            </w:r>
          </w:p>
        </w:tc>
        <w:tc>
          <w:tcPr>
            <w:tcW w:w="850"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9</w:t>
            </w:r>
            <w:r>
              <w:rPr>
                <w:color w:val="000000" w:themeColor="text1"/>
                <w:sz w:val="15"/>
                <w:szCs w:val="15"/>
                <w14:textFill>
                  <w14:solidFill>
                    <w14:schemeClr w14:val="tx1"/>
                  </w14:solidFill>
                </w14:textFill>
              </w:rPr>
              <w:t>0%</w:t>
            </w:r>
            <w:r>
              <w:rPr>
                <w:rFonts w:hint="eastAsia"/>
                <w:color w:val="000000" w:themeColor="text1"/>
                <w:sz w:val="15"/>
                <w:szCs w:val="15"/>
                <w14:textFill>
                  <w14:solidFill>
                    <w14:schemeClr w14:val="tx1"/>
                  </w14:solidFill>
                </w14:textFill>
              </w:rPr>
              <w:t>，9</w:t>
            </w:r>
            <w:r>
              <w:rPr>
                <w:color w:val="000000" w:themeColor="text1"/>
                <w:sz w:val="15"/>
                <w:szCs w:val="15"/>
                <w14:textFill>
                  <w14:solidFill>
                    <w14:schemeClr w14:val="tx1"/>
                  </w14:solidFill>
                </w14:textFill>
              </w:rPr>
              <w:t>3.3%</w:t>
            </w:r>
            <w:r>
              <w:rPr>
                <w:rFonts w:hint="eastAsia"/>
                <w:color w:val="000000" w:themeColor="text1"/>
                <w:sz w:val="15"/>
                <w:szCs w:val="15"/>
                <w14:textFill>
                  <w14:solidFill>
                    <w14:schemeClr w14:val="tx1"/>
                  </w14:solidFill>
                </w14:textFill>
              </w:rPr>
              <w:t>，9</w:t>
            </w:r>
            <w:r>
              <w:rPr>
                <w:color w:val="000000" w:themeColor="text1"/>
                <w:sz w:val="15"/>
                <w:szCs w:val="15"/>
                <w14:textFill>
                  <w14:solidFill>
                    <w14:schemeClr w14:val="tx1"/>
                  </w14:solidFill>
                </w14:textFill>
              </w:rPr>
              <w:t>3.3%</w:t>
            </w:r>
            <w:r>
              <w:rPr>
                <w:rFonts w:hint="eastAsia"/>
                <w:color w:val="000000" w:themeColor="text1"/>
                <w:sz w:val="15"/>
                <w:szCs w:val="15"/>
                <w14:textFill>
                  <w14:solidFill>
                    <w14:schemeClr w14:val="tx1"/>
                  </w14:solidFill>
                </w14:textFill>
              </w:rPr>
              <w:t>，持续改善</w:t>
            </w:r>
          </w:p>
          <w:p>
            <w:pPr>
              <w:widowControl/>
              <w:spacing w:line="240" w:lineRule="auto"/>
              <w:ind w:firstLine="0" w:firstLineChars="0"/>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无劣V类水体</w:t>
            </w:r>
          </w:p>
          <w:p>
            <w:pPr>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3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③</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完成2条国管黑臭水体治理任务</w:t>
            </w:r>
          </w:p>
        </w:tc>
        <w:tc>
          <w:tcPr>
            <w:tcW w:w="1418" w:type="dxa"/>
            <w:vAlign w:val="center"/>
          </w:tcPr>
          <w:p>
            <w:pPr>
              <w:widowControl/>
              <w:spacing w:line="240" w:lineRule="auto"/>
              <w:ind w:firstLine="0" w:firstLineChars="0"/>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≥9</w:t>
            </w:r>
            <w:r>
              <w:rPr>
                <w:color w:val="000000" w:themeColor="text1"/>
                <w:sz w:val="15"/>
                <w:szCs w:val="15"/>
                <w14:textFill>
                  <w14:solidFill>
                    <w14:schemeClr w14:val="tx1"/>
                  </w14:solidFill>
                </w14:textFill>
              </w:rPr>
              <w:t>3.3%</w:t>
            </w:r>
            <w:r>
              <w:rPr>
                <w:rFonts w:hint="eastAsia"/>
                <w:color w:val="000000" w:themeColor="text1"/>
                <w:sz w:val="15"/>
                <w:szCs w:val="15"/>
                <w14:textFill>
                  <w14:solidFill>
                    <w14:schemeClr w14:val="tx1"/>
                  </w14:solidFill>
                </w14:textFill>
              </w:rPr>
              <w:t>，持续改善</w:t>
            </w:r>
          </w:p>
          <w:p>
            <w:pPr>
              <w:widowControl/>
              <w:spacing w:line="240" w:lineRule="auto"/>
              <w:ind w:firstLine="0" w:firstLineChars="0"/>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无劣V类水体</w:t>
            </w:r>
          </w:p>
          <w:p>
            <w:pPr>
              <w:spacing w:line="240" w:lineRule="auto"/>
              <w:ind w:firstLine="0" w:firstLineChars="0"/>
              <w:jc w:val="left"/>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3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③</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国管控消除比例1</w:t>
            </w:r>
            <w:r>
              <w:rPr>
                <w:color w:val="000000" w:themeColor="text1"/>
                <w:sz w:val="15"/>
                <w:szCs w:val="15"/>
                <w14:textFill>
                  <w14:solidFill>
                    <w14:schemeClr w14:val="tx1"/>
                  </w14:solidFill>
                </w14:textFill>
              </w:rPr>
              <w:t>00%11</w:t>
            </w:r>
            <w:r>
              <w:rPr>
                <w:rFonts w:hint="eastAsia"/>
                <w:color w:val="000000" w:themeColor="text1"/>
                <w:sz w:val="15"/>
                <w:szCs w:val="15"/>
                <w14:textFill>
                  <w14:solidFill>
                    <w14:schemeClr w14:val="tx1"/>
                  </w14:solidFill>
                </w14:textFill>
              </w:rPr>
              <w:t>处，；省管控消除比例5</w:t>
            </w:r>
            <w:r>
              <w:rPr>
                <w:color w:val="000000" w:themeColor="text1"/>
                <w:sz w:val="15"/>
                <w:szCs w:val="15"/>
                <w14:textFill>
                  <w14:solidFill>
                    <w14:schemeClr w14:val="tx1"/>
                  </w14:solidFill>
                </w14:textFill>
              </w:rPr>
              <w:t>0%</w:t>
            </w:r>
            <w:r>
              <w:rPr>
                <w:rFonts w:hint="eastAsia"/>
                <w:color w:val="000000" w:themeColor="text1"/>
                <w:sz w:val="15"/>
                <w:szCs w:val="15"/>
                <w14:textFill>
                  <w14:solidFill>
                    <w14:schemeClr w14:val="tx1"/>
                  </w14:solidFill>
                </w14:textFill>
              </w:rPr>
              <w:t>约1</w:t>
            </w:r>
            <w:r>
              <w:rPr>
                <w:color w:val="000000" w:themeColor="text1"/>
                <w:sz w:val="15"/>
                <w:szCs w:val="15"/>
                <w14:textFill>
                  <w14:solidFill>
                    <w14:schemeClr w14:val="tx1"/>
                  </w14:solidFill>
                </w14:textFill>
              </w:rPr>
              <w:t>7</w:t>
            </w:r>
            <w:r>
              <w:rPr>
                <w:rFonts w:hint="eastAsia"/>
                <w:color w:val="000000" w:themeColor="text1"/>
                <w:sz w:val="15"/>
                <w:szCs w:val="15"/>
                <w14:textFill>
                  <w14:solidFill>
                    <w14:schemeClr w14:val="tx1"/>
                  </w14:solidFill>
                </w14:textFill>
              </w:rPr>
              <w:t>处</w:t>
            </w:r>
          </w:p>
        </w:tc>
        <w:tc>
          <w:tcPr>
            <w:tcW w:w="680"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完成上级规定的考核任务</w:t>
            </w:r>
          </w:p>
        </w:tc>
        <w:tc>
          <w:tcPr>
            <w:tcW w:w="978" w:type="dxa"/>
            <w:vAlign w:val="center"/>
          </w:tcPr>
          <w:p>
            <w:pPr>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16" w:hRule="atLeast"/>
        </w:trPr>
        <w:tc>
          <w:tcPr>
            <w:tcW w:w="567" w:type="dxa"/>
            <w:vMerge w:val="continue"/>
            <w:vAlign w:val="center"/>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sz w:val="15"/>
                <w:szCs w:val="15"/>
              </w:rPr>
              <w:t>9</w:t>
            </w:r>
          </w:p>
        </w:tc>
        <w:tc>
          <w:tcPr>
            <w:tcW w:w="2835" w:type="dxa"/>
            <w:vAlign w:val="center"/>
          </w:tcPr>
          <w:p>
            <w:pPr>
              <w:widowControl/>
              <w:spacing w:line="240" w:lineRule="auto"/>
              <w:ind w:firstLine="0" w:firstLineChars="0"/>
              <w:jc w:val="left"/>
              <w:rPr>
                <w:b/>
                <w:bCs/>
                <w:sz w:val="15"/>
                <w:szCs w:val="15"/>
              </w:rPr>
            </w:pPr>
            <w:r>
              <w:rPr>
                <w:rFonts w:hint="eastAsia"/>
                <w:color w:val="000000" w:themeColor="text1"/>
                <w:sz w:val="15"/>
                <w:szCs w:val="15"/>
                <w14:textFill>
                  <w14:solidFill>
                    <w14:schemeClr w14:val="tx1"/>
                  </w14:solidFill>
                </w14:textFill>
              </w:rPr>
              <w:t>近岸海域水质优良（一、二类）比例</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完成上级规定的考核任务；保持稳定或持续改善</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99.46</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99.46</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完成上级规定考核目标</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restart"/>
            <w:vAlign w:val="center"/>
          </w:tcPr>
          <w:p>
            <w:pPr>
              <w:widowControl/>
              <w:spacing w:line="240" w:lineRule="auto"/>
              <w:ind w:firstLine="0" w:firstLineChars="0"/>
              <w:jc w:val="left"/>
              <w:rPr>
                <w:sz w:val="15"/>
                <w:szCs w:val="15"/>
              </w:rPr>
            </w:pPr>
            <w:r>
              <w:rPr>
                <w:rFonts w:hint="eastAsia"/>
                <w:sz w:val="15"/>
                <w:szCs w:val="15"/>
              </w:rPr>
              <w:t>（三）</w:t>
            </w:r>
          </w:p>
          <w:p>
            <w:pPr>
              <w:widowControl/>
              <w:spacing w:line="240" w:lineRule="auto"/>
              <w:ind w:firstLine="0" w:firstLineChars="0"/>
              <w:jc w:val="left"/>
              <w:rPr>
                <w:sz w:val="15"/>
                <w:szCs w:val="15"/>
              </w:rPr>
            </w:pPr>
            <w:r>
              <w:rPr>
                <w:rFonts w:hint="eastAsia"/>
                <w:sz w:val="15"/>
                <w:szCs w:val="15"/>
              </w:rPr>
              <w:t>生态系统保护</w:t>
            </w:r>
          </w:p>
        </w:tc>
        <w:tc>
          <w:tcPr>
            <w:tcW w:w="567" w:type="dxa"/>
            <w:vAlign w:val="center"/>
          </w:tcPr>
          <w:p>
            <w:pPr>
              <w:widowControl/>
              <w:spacing w:line="240" w:lineRule="auto"/>
              <w:ind w:firstLine="0" w:firstLineChars="0"/>
              <w:jc w:val="center"/>
              <w:rPr>
                <w:sz w:val="15"/>
                <w:szCs w:val="15"/>
              </w:rPr>
            </w:pPr>
            <w:r>
              <w:rPr>
                <w:sz w:val="15"/>
                <w:szCs w:val="15"/>
              </w:rPr>
              <w:t>10</w:t>
            </w:r>
          </w:p>
        </w:tc>
        <w:tc>
          <w:tcPr>
            <w:tcW w:w="2835" w:type="dxa"/>
            <w:vAlign w:val="center"/>
          </w:tcPr>
          <w:p>
            <w:pPr>
              <w:widowControl/>
              <w:spacing w:line="240" w:lineRule="auto"/>
              <w:ind w:firstLine="0" w:firstLineChars="0"/>
              <w:jc w:val="left"/>
              <w:rPr>
                <w:sz w:val="15"/>
                <w:szCs w:val="15"/>
              </w:rPr>
            </w:pPr>
            <w:r>
              <w:rPr>
                <w:rFonts w:hint="eastAsia"/>
                <w:sz w:val="15"/>
                <w:szCs w:val="15"/>
              </w:rPr>
              <w:t>生态质量指数（EQI）</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ascii="等线" w:hAnsi="等线" w:eastAsia="等线"/>
                <w:color w:val="000000" w:themeColor="text1"/>
                <w:sz w:val="15"/>
                <w:szCs w:val="15"/>
                <w14:textFill>
                  <w14:solidFill>
                    <w14:schemeClr w14:val="tx1"/>
                  </w14:solidFill>
                </w14:textFill>
              </w:rPr>
              <w:t>Δ</w:t>
            </w:r>
            <w:r>
              <w:rPr>
                <w:rFonts w:hint="eastAsia"/>
                <w:color w:val="000000" w:themeColor="text1"/>
                <w:sz w:val="15"/>
                <w:szCs w:val="15"/>
                <w14:textFill>
                  <w14:solidFill>
                    <w14:schemeClr w14:val="tx1"/>
                  </w14:solidFill>
                </w14:textFill>
              </w:rPr>
              <w:t>EQI≥</w:t>
            </w:r>
            <w:r>
              <w:rPr>
                <w:color w:val="000000" w:themeColor="text1"/>
                <w:sz w:val="15"/>
                <w:szCs w:val="15"/>
                <w14:textFill>
                  <w14:solidFill>
                    <w14:schemeClr w14:val="tx1"/>
                  </w14:solidFill>
                </w14:textFill>
              </w:rPr>
              <w:t>-1</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rFonts w:ascii="等线" w:hAnsi="等线" w:eastAsia="等线"/>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ascii="等线" w:hAnsi="等线" w:eastAsia="等线"/>
                <w:color w:val="000000" w:themeColor="text1"/>
                <w:sz w:val="15"/>
                <w:szCs w:val="15"/>
                <w14:textFill>
                  <w14:solidFill>
                    <w14:schemeClr w14:val="tx1"/>
                  </w14:solidFill>
                </w14:textFill>
              </w:rPr>
              <w:t>Δ</w:t>
            </w:r>
            <w:r>
              <w:rPr>
                <w:rFonts w:hint="eastAsia"/>
                <w:color w:val="000000" w:themeColor="text1"/>
                <w:sz w:val="15"/>
                <w:szCs w:val="15"/>
                <w14:textFill>
                  <w14:solidFill>
                    <w14:schemeClr w14:val="tx1"/>
                  </w14:solidFill>
                </w14:textFill>
              </w:rPr>
              <w:t>EQI=</w:t>
            </w:r>
            <w:r>
              <w:rPr>
                <w:color w:val="000000" w:themeColor="text1"/>
                <w:sz w:val="15"/>
                <w:szCs w:val="15"/>
                <w14:textFill>
                  <w14:solidFill>
                    <w14:schemeClr w14:val="tx1"/>
                  </w14:solidFill>
                </w14:textFill>
              </w:rPr>
              <w:t>0.11</w:t>
            </w:r>
          </w:p>
        </w:tc>
        <w:tc>
          <w:tcPr>
            <w:tcW w:w="1418" w:type="dxa"/>
            <w:vAlign w:val="center"/>
          </w:tcPr>
          <w:p>
            <w:pPr>
              <w:widowControl/>
              <w:spacing w:line="240" w:lineRule="auto"/>
              <w:ind w:firstLine="0" w:firstLineChars="0"/>
              <w:jc w:val="left"/>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I≥</w:t>
            </w:r>
            <w:r>
              <w:rPr>
                <w:color w:val="000000" w:themeColor="text1"/>
                <w:sz w:val="15"/>
                <w:szCs w:val="15"/>
                <w14:textFill>
                  <w14:solidFill>
                    <w14:schemeClr w14:val="tx1"/>
                  </w14:solidFill>
                </w14:textFill>
              </w:rPr>
              <w:t>0.11</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ascii="等线" w:hAnsi="等线" w:eastAsia="等线"/>
                <w:color w:val="000000" w:themeColor="text1"/>
                <w:sz w:val="15"/>
                <w:szCs w:val="15"/>
                <w14:textFill>
                  <w14:solidFill>
                    <w14:schemeClr w14:val="tx1"/>
                  </w14:solidFill>
                </w14:textFill>
              </w:rPr>
              <w:t>Δ</w:t>
            </w:r>
            <w:r>
              <w:rPr>
                <w:rFonts w:hint="eastAsia"/>
                <w:color w:val="000000" w:themeColor="text1"/>
                <w:sz w:val="15"/>
                <w:szCs w:val="15"/>
                <w14:textFill>
                  <w14:solidFill>
                    <w14:schemeClr w14:val="tx1"/>
                  </w14:solidFill>
                </w14:textFill>
              </w:rPr>
              <w:t>EQI≥</w:t>
            </w:r>
            <w:r>
              <w:rPr>
                <w:color w:val="000000" w:themeColor="text1"/>
                <w:sz w:val="15"/>
                <w:szCs w:val="15"/>
                <w14:textFill>
                  <w14:solidFill>
                    <w14:schemeClr w14:val="tx1"/>
                  </w14:solidFill>
                </w14:textFill>
              </w:rPr>
              <w:t>0.11</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sz w:val="15"/>
                <w:szCs w:val="15"/>
              </w:rPr>
              <w:t>11</w:t>
            </w:r>
          </w:p>
        </w:tc>
        <w:tc>
          <w:tcPr>
            <w:tcW w:w="2835" w:type="dxa"/>
          </w:tcPr>
          <w:p>
            <w:pPr>
              <w:widowControl/>
              <w:spacing w:line="240" w:lineRule="auto"/>
              <w:ind w:firstLine="0" w:firstLineChars="0"/>
              <w:jc w:val="left"/>
              <w:rPr>
                <w:b/>
                <w:bCs/>
                <w:sz w:val="15"/>
                <w:szCs w:val="15"/>
              </w:rPr>
            </w:pPr>
            <w:r>
              <w:rPr>
                <w:rFonts w:hint="eastAsia"/>
                <w:b/>
                <w:bCs/>
                <w:sz w:val="15"/>
                <w:szCs w:val="15"/>
              </w:rPr>
              <w:t>林草覆盖率</w:t>
            </w:r>
          </w:p>
          <w:p>
            <w:pPr>
              <w:widowControl/>
              <w:spacing w:line="240" w:lineRule="auto"/>
              <w:ind w:firstLine="0" w:firstLineChars="0"/>
              <w:jc w:val="left"/>
              <w:rPr>
                <w:b/>
                <w:bCs/>
                <w:sz w:val="15"/>
                <w:szCs w:val="15"/>
              </w:rPr>
            </w:pPr>
            <w:r>
              <w:rPr>
                <w:rFonts w:hint="eastAsia"/>
                <w:sz w:val="15"/>
                <w:szCs w:val="15"/>
              </w:rPr>
              <w:t>山区</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60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66.7</w:t>
            </w:r>
          </w:p>
        </w:tc>
        <w:tc>
          <w:tcPr>
            <w:tcW w:w="1418" w:type="dxa"/>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66.7</w:t>
            </w:r>
          </w:p>
        </w:tc>
        <w:tc>
          <w:tcPr>
            <w:tcW w:w="680" w:type="dxa"/>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66.7</w:t>
            </w:r>
          </w:p>
        </w:tc>
        <w:tc>
          <w:tcPr>
            <w:tcW w:w="978" w:type="dxa"/>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sz w:val="15"/>
                <w:szCs w:val="15"/>
              </w:rPr>
              <w:t>12</w:t>
            </w:r>
          </w:p>
        </w:tc>
        <w:tc>
          <w:tcPr>
            <w:tcW w:w="2835" w:type="dxa"/>
          </w:tcPr>
          <w:p>
            <w:pPr>
              <w:widowControl/>
              <w:spacing w:line="240" w:lineRule="auto"/>
              <w:ind w:firstLine="0" w:firstLineChars="0"/>
              <w:jc w:val="left"/>
              <w:rPr>
                <w:b/>
                <w:bCs/>
                <w:sz w:val="15"/>
                <w:szCs w:val="15"/>
              </w:rPr>
            </w:pPr>
            <w:r>
              <w:rPr>
                <w:rFonts w:hint="eastAsia"/>
                <w:b/>
                <w:bCs/>
                <w:sz w:val="15"/>
                <w:szCs w:val="15"/>
              </w:rPr>
              <w:t>生物多样性保护</w:t>
            </w:r>
          </w:p>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1 \* GB3</w:instrText>
            </w:r>
            <w:r>
              <w:rPr>
                <w:sz w:val="15"/>
                <w:szCs w:val="15"/>
              </w:rPr>
              <w:instrText xml:space="preserve"> </w:instrText>
            </w:r>
            <w:r>
              <w:rPr>
                <w:sz w:val="15"/>
                <w:szCs w:val="15"/>
              </w:rPr>
              <w:fldChar w:fldCharType="separate"/>
            </w:r>
            <w:r>
              <w:rPr>
                <w:rFonts w:hint="eastAsia"/>
                <w:sz w:val="15"/>
                <w:szCs w:val="15"/>
              </w:rPr>
              <w:t>①</w:t>
            </w:r>
            <w:r>
              <w:rPr>
                <w:sz w:val="15"/>
                <w:szCs w:val="15"/>
              </w:rPr>
              <w:fldChar w:fldCharType="end"/>
            </w:r>
            <w:r>
              <w:rPr>
                <w:rFonts w:hint="eastAsia"/>
                <w:sz w:val="15"/>
                <w:szCs w:val="15"/>
              </w:rPr>
              <w:t>国家重点保护野生动植物保护率</w:t>
            </w:r>
          </w:p>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2 \* GB3</w:instrText>
            </w:r>
            <w:r>
              <w:rPr>
                <w:sz w:val="15"/>
                <w:szCs w:val="15"/>
              </w:rPr>
              <w:instrText xml:space="preserve"> </w:instrText>
            </w:r>
            <w:r>
              <w:rPr>
                <w:sz w:val="15"/>
                <w:szCs w:val="15"/>
              </w:rPr>
              <w:fldChar w:fldCharType="separate"/>
            </w:r>
            <w:r>
              <w:rPr>
                <w:rFonts w:hint="eastAsia"/>
                <w:sz w:val="15"/>
                <w:szCs w:val="15"/>
              </w:rPr>
              <w:t>②</w:t>
            </w:r>
            <w:r>
              <w:rPr>
                <w:sz w:val="15"/>
                <w:szCs w:val="15"/>
              </w:rPr>
              <w:fldChar w:fldCharType="end"/>
            </w:r>
            <w:r>
              <w:rPr>
                <w:rFonts w:hint="eastAsia"/>
                <w:sz w:val="15"/>
                <w:szCs w:val="15"/>
              </w:rPr>
              <w:t>外来物种入侵</w:t>
            </w:r>
          </w:p>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3 \* GB3</w:instrText>
            </w:r>
            <w:r>
              <w:rPr>
                <w:sz w:val="15"/>
                <w:szCs w:val="15"/>
              </w:rPr>
              <w:instrText xml:space="preserve"> </w:instrText>
            </w:r>
            <w:r>
              <w:rPr>
                <w:sz w:val="15"/>
                <w:szCs w:val="15"/>
              </w:rPr>
              <w:fldChar w:fldCharType="separate"/>
            </w:r>
            <w:r>
              <w:rPr>
                <w:rFonts w:hint="eastAsia"/>
                <w:sz w:val="15"/>
                <w:szCs w:val="15"/>
              </w:rPr>
              <w:t>③</w:t>
            </w:r>
            <w:r>
              <w:rPr>
                <w:sz w:val="15"/>
                <w:szCs w:val="15"/>
              </w:rPr>
              <w:fldChar w:fldCharType="end"/>
            </w:r>
            <w:r>
              <w:rPr>
                <w:rFonts w:hint="eastAsia"/>
                <w:sz w:val="15"/>
                <w:szCs w:val="15"/>
              </w:rPr>
              <w:t>特有性或指示性水生物种保持率</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w:t>
            </w: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95</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不明显</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3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③</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不降低</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tcPr>
          <w:p>
            <w:pPr>
              <w:widowControl/>
              <w:spacing w:line="240" w:lineRule="auto"/>
              <w:ind w:firstLine="0" w:firstLineChars="0"/>
              <w:jc w:val="left"/>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不明显</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3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③</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不降低</w:t>
            </w:r>
          </w:p>
        </w:tc>
        <w:tc>
          <w:tcPr>
            <w:tcW w:w="1418" w:type="dxa"/>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不明显</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3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③</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不降低</w:t>
            </w:r>
          </w:p>
        </w:tc>
        <w:tc>
          <w:tcPr>
            <w:tcW w:w="680" w:type="dxa"/>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不明显</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3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③</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不降低</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4" w:hRule="atLeast"/>
        </w:trPr>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1</w:t>
            </w:r>
            <w:r>
              <w:rPr>
                <w:sz w:val="15"/>
                <w:szCs w:val="15"/>
              </w:rPr>
              <w:t>3</w:t>
            </w:r>
          </w:p>
        </w:tc>
        <w:tc>
          <w:tcPr>
            <w:tcW w:w="2835" w:type="dxa"/>
            <w:vAlign w:val="center"/>
          </w:tcPr>
          <w:p>
            <w:pPr>
              <w:widowControl/>
              <w:spacing w:line="240" w:lineRule="auto"/>
              <w:ind w:firstLine="0" w:firstLineChars="0"/>
              <w:jc w:val="left"/>
              <w:rPr>
                <w:b/>
                <w:bCs/>
                <w:sz w:val="15"/>
                <w:szCs w:val="15"/>
              </w:rPr>
            </w:pPr>
            <w:r>
              <w:rPr>
                <w:rFonts w:hint="eastAsia"/>
                <w:b/>
                <w:bCs/>
                <w:sz w:val="15"/>
                <w:szCs w:val="15"/>
              </w:rPr>
              <w:t>海岸生态修复</w:t>
            </w:r>
          </w:p>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1 \* GB3</w:instrText>
            </w:r>
            <w:r>
              <w:rPr>
                <w:sz w:val="15"/>
                <w:szCs w:val="15"/>
              </w:rPr>
              <w:instrText xml:space="preserve"> </w:instrText>
            </w:r>
            <w:r>
              <w:rPr>
                <w:sz w:val="15"/>
                <w:szCs w:val="15"/>
              </w:rPr>
              <w:fldChar w:fldCharType="separate"/>
            </w:r>
            <w:r>
              <w:rPr>
                <w:rFonts w:hint="eastAsia"/>
                <w:sz w:val="15"/>
                <w:szCs w:val="15"/>
              </w:rPr>
              <w:t>①</w:t>
            </w:r>
            <w:r>
              <w:rPr>
                <w:sz w:val="15"/>
                <w:szCs w:val="15"/>
              </w:rPr>
              <w:fldChar w:fldCharType="end"/>
            </w:r>
            <w:r>
              <w:rPr>
                <w:rFonts w:hint="eastAsia"/>
                <w:sz w:val="15"/>
                <w:szCs w:val="15"/>
              </w:rPr>
              <w:t>自然岸线修复长度</w:t>
            </w:r>
          </w:p>
          <w:p>
            <w:pPr>
              <w:widowControl/>
              <w:spacing w:line="240" w:lineRule="auto"/>
              <w:ind w:firstLine="0" w:firstLineChars="0"/>
              <w:jc w:val="left"/>
              <w:rPr>
                <w:b/>
                <w:bCs/>
                <w:sz w:val="15"/>
                <w:szCs w:val="15"/>
              </w:rPr>
            </w:pPr>
            <w:r>
              <w:rPr>
                <w:sz w:val="15"/>
                <w:szCs w:val="15"/>
              </w:rPr>
              <w:fldChar w:fldCharType="begin"/>
            </w:r>
            <w:r>
              <w:rPr>
                <w:sz w:val="15"/>
                <w:szCs w:val="15"/>
              </w:rPr>
              <w:instrText xml:space="preserve"> </w:instrText>
            </w:r>
            <w:r>
              <w:rPr>
                <w:rFonts w:hint="eastAsia"/>
                <w:sz w:val="15"/>
                <w:szCs w:val="15"/>
              </w:rPr>
              <w:instrText xml:space="preserve">= 2 \* GB3</w:instrText>
            </w:r>
            <w:r>
              <w:rPr>
                <w:sz w:val="15"/>
                <w:szCs w:val="15"/>
              </w:rPr>
              <w:instrText xml:space="preserve"> </w:instrText>
            </w:r>
            <w:r>
              <w:rPr>
                <w:sz w:val="15"/>
                <w:szCs w:val="15"/>
              </w:rPr>
              <w:fldChar w:fldCharType="separate"/>
            </w:r>
            <w:r>
              <w:rPr>
                <w:rFonts w:hint="eastAsia"/>
                <w:sz w:val="15"/>
                <w:szCs w:val="15"/>
              </w:rPr>
              <w:t>②</w:t>
            </w:r>
            <w:r>
              <w:rPr>
                <w:sz w:val="15"/>
                <w:szCs w:val="15"/>
              </w:rPr>
              <w:fldChar w:fldCharType="end"/>
            </w:r>
            <w:r>
              <w:rPr>
                <w:rFonts w:hint="eastAsia"/>
                <w:sz w:val="15"/>
                <w:szCs w:val="15"/>
              </w:rPr>
              <w:t>滨海湿地修复面积</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公里</w:t>
            </w: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公顷</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完成上级管控目标</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pStyle w:val="51"/>
              <w:widowControl/>
              <w:spacing w:line="240" w:lineRule="auto"/>
              <w:ind w:firstLine="0" w:firstLineChars="0"/>
              <w:jc w:val="center"/>
              <w:rPr>
                <w:b/>
                <w:bCs/>
                <w:color w:val="000000" w:themeColor="text1"/>
                <w:sz w:val="15"/>
                <w:szCs w:val="15"/>
                <w14:textFill>
                  <w14:solidFill>
                    <w14:schemeClr w14:val="tx1"/>
                  </w14:solidFill>
                </w14:textFill>
              </w:rPr>
            </w:pPr>
            <w:r>
              <w:rPr>
                <w:b/>
                <w:bCs/>
                <w:color w:val="000000" w:themeColor="text1"/>
                <w:sz w:val="15"/>
                <w:szCs w:val="15"/>
                <w14:textFill>
                  <w14:solidFill>
                    <w14:schemeClr w14:val="tx1"/>
                  </w14:solidFill>
                </w14:textFill>
              </w:rPr>
              <w:fldChar w:fldCharType="begin"/>
            </w:r>
            <w:r>
              <w:rPr>
                <w:b/>
                <w:bCs/>
                <w:color w:val="000000" w:themeColor="text1"/>
                <w:sz w:val="15"/>
                <w:szCs w:val="15"/>
                <w14:textFill>
                  <w14:solidFill>
                    <w14:schemeClr w14:val="tx1"/>
                  </w14:solidFill>
                </w14:textFill>
              </w:rPr>
              <w:instrText xml:space="preserve"> </w:instrText>
            </w:r>
            <w:r>
              <w:rPr>
                <w:rFonts w:hint="eastAsia"/>
                <w:b/>
                <w:bCs/>
                <w:color w:val="000000" w:themeColor="text1"/>
                <w:sz w:val="15"/>
                <w:szCs w:val="15"/>
                <w14:textFill>
                  <w14:solidFill>
                    <w14:schemeClr w14:val="tx1"/>
                  </w14:solidFill>
                </w14:textFill>
              </w:rPr>
              <w:instrText xml:space="preserve">= 1 \* GB3</w:instrText>
            </w:r>
            <w:r>
              <w:rPr>
                <w:b/>
                <w:bCs/>
                <w:color w:val="000000" w:themeColor="text1"/>
                <w:sz w:val="15"/>
                <w:szCs w:val="15"/>
                <w14:textFill>
                  <w14:solidFill>
                    <w14:schemeClr w14:val="tx1"/>
                  </w14:solidFill>
                </w14:textFill>
              </w:rPr>
              <w:instrText xml:space="preserve"> </w:instrText>
            </w:r>
            <w:r>
              <w:rPr>
                <w:b/>
                <w:bCs/>
                <w:color w:val="000000" w:themeColor="text1"/>
                <w:sz w:val="15"/>
                <w:szCs w:val="15"/>
                <w14:textFill>
                  <w14:solidFill>
                    <w14:schemeClr w14:val="tx1"/>
                  </w14:solidFill>
                </w14:textFill>
              </w:rPr>
              <w:fldChar w:fldCharType="separate"/>
            </w:r>
            <w:r>
              <w:rPr>
                <w:rFonts w:hint="eastAsia"/>
                <w:b/>
                <w:bCs/>
                <w:color w:val="000000" w:themeColor="text1"/>
                <w:sz w:val="15"/>
                <w:szCs w:val="15"/>
                <w14:textFill>
                  <w14:solidFill>
                    <w14:schemeClr w14:val="tx1"/>
                  </w14:solidFill>
                </w14:textFill>
              </w:rPr>
              <w:t>①</w:t>
            </w:r>
            <w:r>
              <w:rPr>
                <w:b/>
                <w:bCs/>
                <w:color w:val="000000" w:themeColor="text1"/>
                <w:sz w:val="15"/>
                <w:szCs w:val="15"/>
                <w14:textFill>
                  <w14:solidFill>
                    <w14:schemeClr w14:val="tx1"/>
                  </w14:solidFill>
                </w14:textFill>
              </w:rPr>
              <w:fldChar w:fldCharType="end"/>
            </w:r>
            <w:r>
              <w:rPr>
                <w:rFonts w:hint="eastAsia"/>
                <w:b/>
                <w:bCs/>
                <w:color w:val="000000" w:themeColor="text1"/>
                <w:sz w:val="15"/>
                <w:szCs w:val="15"/>
                <w14:textFill>
                  <w14:solidFill>
                    <w14:schemeClr w14:val="tx1"/>
                  </w14:solidFill>
                </w14:textFill>
              </w:rPr>
              <w:t>无数据</w:t>
            </w: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ascii="宋体" w:hAnsi="宋体" w:cs="宋体"/>
                <w:b/>
                <w:bCs/>
                <w:color w:val="000000" w:themeColor="text1"/>
                <w:sz w:val="15"/>
                <w:szCs w:val="15"/>
                <w14:textFill>
                  <w14:solidFill>
                    <w14:schemeClr w14:val="tx1"/>
                  </w14:solidFill>
                </w14:textFill>
              </w:rPr>
              <w:t>②</w:t>
            </w:r>
            <w:r>
              <w:rPr>
                <w:rFonts w:hint="eastAsia"/>
                <w:b/>
                <w:bCs/>
                <w:color w:val="000000" w:themeColor="text1"/>
                <w:sz w:val="15"/>
                <w:szCs w:val="15"/>
                <w14:textFill>
                  <w14:solidFill>
                    <w14:schemeClr w14:val="tx1"/>
                  </w14:solidFill>
                </w14:textFill>
              </w:rPr>
              <w:t>无数据</w:t>
            </w:r>
          </w:p>
        </w:tc>
        <w:tc>
          <w:tcPr>
            <w:tcW w:w="1418" w:type="dxa"/>
            <w:vAlign w:val="center"/>
          </w:tcPr>
          <w:p>
            <w:pPr>
              <w:widowControl/>
              <w:spacing w:line="240" w:lineRule="auto"/>
              <w:ind w:firstLine="0" w:firstLineChars="0"/>
              <w:jc w:val="left"/>
              <w:rPr>
                <w:color w:val="000000" w:themeColor="text1"/>
                <w:sz w:val="15"/>
                <w:szCs w:val="15"/>
                <w14:textFill>
                  <w14:solidFill>
                    <w14:schemeClr w14:val="tx1"/>
                  </w14:solidFill>
                </w14:textFill>
              </w:rPr>
            </w:pPr>
            <w:r>
              <w:rPr>
                <w:rFonts w:hint="eastAsia"/>
                <w:b/>
                <w:bCs/>
                <w:color w:val="000000" w:themeColor="text1"/>
                <w:sz w:val="15"/>
                <w:szCs w:val="15"/>
                <w14:textFill>
                  <w14:solidFill>
                    <w14:schemeClr w14:val="tx1"/>
                  </w14:solidFill>
                </w14:textFill>
              </w:rPr>
              <w:t>缺少上级考核目标</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完成上级管控目标</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bookmarkStart w:id="26" w:name="_Hlk152147735"/>
            <w:r>
              <w:rPr>
                <w:rFonts w:hint="eastAsia"/>
                <w:color w:val="000000" w:themeColor="text1"/>
                <w:sz w:val="15"/>
                <w:szCs w:val="15"/>
                <w14:textFill>
                  <w14:solidFill>
                    <w14:schemeClr w14:val="tx1"/>
                  </w14:solidFill>
                </w14:textFill>
              </w:rPr>
              <w:t>市自然资源和规划局</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restart"/>
            <w:vAlign w:val="center"/>
          </w:tcPr>
          <w:p>
            <w:pPr>
              <w:widowControl/>
              <w:spacing w:line="240" w:lineRule="auto"/>
              <w:ind w:firstLine="0" w:firstLineChars="0"/>
              <w:jc w:val="left"/>
              <w:rPr>
                <w:sz w:val="15"/>
                <w:szCs w:val="15"/>
              </w:rPr>
            </w:pPr>
            <w:r>
              <w:rPr>
                <w:rFonts w:hint="eastAsia"/>
                <w:sz w:val="15"/>
                <w:szCs w:val="15"/>
              </w:rPr>
              <w:t>生态</w:t>
            </w:r>
          </w:p>
          <w:p>
            <w:pPr>
              <w:widowControl/>
              <w:spacing w:line="240" w:lineRule="auto"/>
              <w:ind w:firstLine="0" w:firstLineChars="0"/>
              <w:jc w:val="left"/>
              <w:rPr>
                <w:sz w:val="15"/>
                <w:szCs w:val="15"/>
              </w:rPr>
            </w:pPr>
            <w:r>
              <w:rPr>
                <w:rFonts w:hint="eastAsia"/>
                <w:sz w:val="15"/>
                <w:szCs w:val="15"/>
              </w:rPr>
              <w:t>安全</w:t>
            </w:r>
          </w:p>
        </w:tc>
        <w:tc>
          <w:tcPr>
            <w:tcW w:w="709" w:type="dxa"/>
            <w:vMerge w:val="restart"/>
            <w:vAlign w:val="center"/>
          </w:tcPr>
          <w:p>
            <w:pPr>
              <w:widowControl/>
              <w:spacing w:line="240" w:lineRule="auto"/>
              <w:ind w:firstLine="0" w:firstLineChars="0"/>
              <w:jc w:val="left"/>
              <w:rPr>
                <w:sz w:val="15"/>
                <w:szCs w:val="15"/>
              </w:rPr>
            </w:pPr>
            <w:r>
              <w:rPr>
                <w:rFonts w:hint="eastAsia"/>
                <w:sz w:val="15"/>
                <w:szCs w:val="15"/>
              </w:rPr>
              <w:t>（四）生态环境风险防范</w:t>
            </w:r>
          </w:p>
        </w:tc>
        <w:tc>
          <w:tcPr>
            <w:tcW w:w="567" w:type="dxa"/>
            <w:vAlign w:val="center"/>
          </w:tcPr>
          <w:p>
            <w:pPr>
              <w:widowControl/>
              <w:spacing w:line="240" w:lineRule="auto"/>
              <w:ind w:firstLine="0" w:firstLineChars="0"/>
              <w:jc w:val="center"/>
              <w:rPr>
                <w:sz w:val="15"/>
                <w:szCs w:val="15"/>
              </w:rPr>
            </w:pPr>
            <w:r>
              <w:rPr>
                <w:sz w:val="15"/>
                <w:szCs w:val="15"/>
              </w:rPr>
              <w:t>14</w:t>
            </w:r>
          </w:p>
        </w:tc>
        <w:tc>
          <w:tcPr>
            <w:tcW w:w="2835" w:type="dxa"/>
            <w:vAlign w:val="center"/>
          </w:tcPr>
          <w:p>
            <w:pPr>
              <w:widowControl/>
              <w:spacing w:line="240" w:lineRule="auto"/>
              <w:ind w:firstLine="0" w:firstLineChars="0"/>
              <w:jc w:val="left"/>
              <w:rPr>
                <w:sz w:val="15"/>
                <w:szCs w:val="15"/>
              </w:rPr>
            </w:pPr>
            <w:r>
              <w:rPr>
                <w:rFonts w:hint="eastAsia"/>
                <w:sz w:val="15"/>
                <w:szCs w:val="15"/>
              </w:rPr>
              <w:t>危险废物利用处置率</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1</w:t>
            </w:r>
            <w:r>
              <w:rPr>
                <w:sz w:val="15"/>
                <w:szCs w:val="15"/>
              </w:rPr>
              <w:t>5</w:t>
            </w:r>
          </w:p>
        </w:tc>
        <w:tc>
          <w:tcPr>
            <w:tcW w:w="2835" w:type="dxa"/>
            <w:vAlign w:val="center"/>
          </w:tcPr>
          <w:p>
            <w:pPr>
              <w:widowControl/>
              <w:spacing w:line="240" w:lineRule="auto"/>
              <w:ind w:firstLine="0" w:firstLineChars="0"/>
              <w:jc w:val="left"/>
              <w:rPr>
                <w:sz w:val="15"/>
                <w:szCs w:val="15"/>
              </w:rPr>
            </w:pPr>
            <w:r>
              <w:rPr>
                <w:rFonts w:hint="eastAsia"/>
                <w:sz w:val="15"/>
                <w:szCs w:val="15"/>
              </w:rPr>
              <w:t>建设用地土壤污染风险管控和修复名录制度</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建立</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建立</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建立</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建立</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1</w:t>
            </w:r>
            <w:r>
              <w:rPr>
                <w:sz w:val="15"/>
                <w:szCs w:val="15"/>
              </w:rPr>
              <w:t>6</w:t>
            </w:r>
          </w:p>
        </w:tc>
        <w:tc>
          <w:tcPr>
            <w:tcW w:w="2835" w:type="dxa"/>
            <w:vAlign w:val="center"/>
          </w:tcPr>
          <w:p>
            <w:pPr>
              <w:widowControl/>
              <w:spacing w:line="240" w:lineRule="auto"/>
              <w:ind w:firstLine="0" w:firstLineChars="0"/>
              <w:jc w:val="left"/>
              <w:rPr>
                <w:sz w:val="15"/>
                <w:szCs w:val="15"/>
              </w:rPr>
            </w:pPr>
            <w:bookmarkStart w:id="27" w:name="_Hlk143409185"/>
            <w:r>
              <w:rPr>
                <w:rFonts w:hint="eastAsia"/>
                <w:sz w:val="15"/>
                <w:szCs w:val="15"/>
              </w:rPr>
              <w:t>突发生态环境事件应急管理机制</w:t>
            </w:r>
            <w:bookmarkEnd w:id="27"/>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建立</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建立</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建立</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建立</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市生态环境局、市应急管理局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restart"/>
            <w:vAlign w:val="center"/>
          </w:tcPr>
          <w:p>
            <w:pPr>
              <w:widowControl/>
              <w:spacing w:line="240" w:lineRule="auto"/>
              <w:ind w:firstLine="0" w:firstLineChars="0"/>
              <w:jc w:val="left"/>
              <w:rPr>
                <w:sz w:val="15"/>
                <w:szCs w:val="15"/>
              </w:rPr>
            </w:pPr>
            <w:r>
              <w:rPr>
                <w:rFonts w:hint="eastAsia"/>
                <w:sz w:val="15"/>
                <w:szCs w:val="15"/>
              </w:rPr>
              <w:t>生态空间</w:t>
            </w:r>
          </w:p>
        </w:tc>
        <w:tc>
          <w:tcPr>
            <w:tcW w:w="709" w:type="dxa"/>
            <w:vMerge w:val="restart"/>
            <w:vAlign w:val="center"/>
          </w:tcPr>
          <w:p>
            <w:pPr>
              <w:widowControl/>
              <w:spacing w:line="240" w:lineRule="auto"/>
              <w:ind w:firstLine="0" w:firstLineChars="0"/>
              <w:jc w:val="left"/>
              <w:rPr>
                <w:sz w:val="15"/>
                <w:szCs w:val="15"/>
              </w:rPr>
            </w:pPr>
            <w:r>
              <w:rPr>
                <w:rFonts w:hint="eastAsia"/>
                <w:sz w:val="15"/>
                <w:szCs w:val="15"/>
              </w:rPr>
              <w:t>（五）空间格局优化</w:t>
            </w:r>
          </w:p>
        </w:tc>
        <w:tc>
          <w:tcPr>
            <w:tcW w:w="567" w:type="dxa"/>
            <w:vAlign w:val="center"/>
          </w:tcPr>
          <w:p>
            <w:pPr>
              <w:widowControl/>
              <w:spacing w:line="240" w:lineRule="auto"/>
              <w:ind w:firstLine="0" w:firstLineChars="0"/>
              <w:jc w:val="center"/>
              <w:rPr>
                <w:sz w:val="15"/>
                <w:szCs w:val="15"/>
              </w:rPr>
            </w:pPr>
            <w:r>
              <w:rPr>
                <w:rFonts w:hint="eastAsia"/>
                <w:sz w:val="15"/>
                <w:szCs w:val="15"/>
              </w:rPr>
              <w:t>1</w:t>
            </w:r>
            <w:r>
              <w:rPr>
                <w:sz w:val="15"/>
                <w:szCs w:val="15"/>
              </w:rPr>
              <w:t>7</w:t>
            </w:r>
          </w:p>
        </w:tc>
        <w:tc>
          <w:tcPr>
            <w:tcW w:w="2835" w:type="dxa"/>
          </w:tcPr>
          <w:p>
            <w:pPr>
              <w:widowControl/>
              <w:spacing w:line="240" w:lineRule="auto"/>
              <w:ind w:firstLine="0" w:firstLineChars="0"/>
              <w:jc w:val="left"/>
              <w:rPr>
                <w:b/>
                <w:bCs/>
                <w:sz w:val="15"/>
                <w:szCs w:val="15"/>
              </w:rPr>
            </w:pPr>
            <w:r>
              <w:rPr>
                <w:rFonts w:hint="eastAsia"/>
                <w:b/>
                <w:bCs/>
                <w:sz w:val="15"/>
                <w:szCs w:val="15"/>
              </w:rPr>
              <w:t>自然生态空间</w:t>
            </w:r>
          </w:p>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1 \* GB3</w:instrText>
            </w:r>
            <w:r>
              <w:rPr>
                <w:sz w:val="15"/>
                <w:szCs w:val="15"/>
              </w:rPr>
              <w:instrText xml:space="preserve"> </w:instrText>
            </w:r>
            <w:r>
              <w:rPr>
                <w:sz w:val="15"/>
                <w:szCs w:val="15"/>
              </w:rPr>
              <w:fldChar w:fldCharType="separate"/>
            </w:r>
            <w:r>
              <w:rPr>
                <w:rFonts w:hint="eastAsia"/>
                <w:sz w:val="15"/>
                <w:szCs w:val="15"/>
              </w:rPr>
              <w:t>①</w:t>
            </w:r>
            <w:r>
              <w:rPr>
                <w:sz w:val="15"/>
                <w:szCs w:val="15"/>
              </w:rPr>
              <w:fldChar w:fldCharType="end"/>
            </w:r>
            <w:r>
              <w:rPr>
                <w:rFonts w:hint="eastAsia"/>
                <w:sz w:val="15"/>
                <w:szCs w:val="15"/>
              </w:rPr>
              <w:t>生态保护红线</w:t>
            </w:r>
          </w:p>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2 \* GB3</w:instrText>
            </w:r>
            <w:r>
              <w:rPr>
                <w:sz w:val="15"/>
                <w:szCs w:val="15"/>
              </w:rPr>
              <w:instrText xml:space="preserve"> </w:instrText>
            </w:r>
            <w:r>
              <w:rPr>
                <w:sz w:val="15"/>
                <w:szCs w:val="15"/>
              </w:rPr>
              <w:fldChar w:fldCharType="separate"/>
            </w:r>
            <w:r>
              <w:rPr>
                <w:rFonts w:hint="eastAsia"/>
                <w:sz w:val="15"/>
                <w:szCs w:val="15"/>
              </w:rPr>
              <w:t>②</w:t>
            </w:r>
            <w:r>
              <w:rPr>
                <w:sz w:val="15"/>
                <w:szCs w:val="15"/>
              </w:rPr>
              <w:fldChar w:fldCharType="end"/>
            </w:r>
            <w:r>
              <w:rPr>
                <w:rFonts w:hint="eastAsia"/>
                <w:sz w:val="15"/>
                <w:szCs w:val="15"/>
              </w:rPr>
              <w:t>自然保护地</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left"/>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面积不减少，性质不改变，功能不降低</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面积不减少，性质不改变，功能不降低</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面积不减少，性质不改变，功能不降低</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面积不减少，性质不改变，功能不降低</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1</w:t>
            </w:r>
            <w:r>
              <w:rPr>
                <w:sz w:val="15"/>
                <w:szCs w:val="15"/>
              </w:rPr>
              <w:t>8</w:t>
            </w:r>
          </w:p>
        </w:tc>
        <w:tc>
          <w:tcPr>
            <w:tcW w:w="2835" w:type="dxa"/>
            <w:vAlign w:val="center"/>
          </w:tcPr>
          <w:p>
            <w:pPr>
              <w:widowControl/>
              <w:spacing w:line="240" w:lineRule="auto"/>
              <w:ind w:firstLine="0" w:firstLineChars="0"/>
              <w:jc w:val="left"/>
              <w:rPr>
                <w:sz w:val="15"/>
                <w:szCs w:val="15"/>
              </w:rPr>
            </w:pPr>
            <w:r>
              <w:rPr>
                <w:rFonts w:hint="eastAsia"/>
                <w:sz w:val="15"/>
                <w:szCs w:val="15"/>
              </w:rPr>
              <w:t>自然岸线保有率</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left"/>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完成上级管控目标</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60.59</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60</w:t>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59</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b/>
                <w:bCs/>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60</w:t>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59</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1</w:t>
            </w:r>
            <w:r>
              <w:rPr>
                <w:sz w:val="15"/>
                <w:szCs w:val="15"/>
              </w:rPr>
              <w:t>9</w:t>
            </w:r>
          </w:p>
        </w:tc>
        <w:tc>
          <w:tcPr>
            <w:tcW w:w="2835" w:type="dxa"/>
            <w:vAlign w:val="center"/>
          </w:tcPr>
          <w:p>
            <w:pPr>
              <w:widowControl/>
              <w:spacing w:line="240" w:lineRule="auto"/>
              <w:ind w:firstLine="0" w:firstLineChars="0"/>
              <w:jc w:val="left"/>
              <w:rPr>
                <w:sz w:val="15"/>
                <w:szCs w:val="15"/>
              </w:rPr>
            </w:pPr>
            <w:r>
              <w:rPr>
                <w:rFonts w:hint="eastAsia"/>
                <w:sz w:val="15"/>
                <w:szCs w:val="15"/>
              </w:rPr>
              <w:t>河湖岸线保护率</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left"/>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完成上级管控目标</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0</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80</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80</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restart"/>
            <w:vAlign w:val="center"/>
          </w:tcPr>
          <w:p>
            <w:pPr>
              <w:widowControl/>
              <w:spacing w:line="240" w:lineRule="auto"/>
              <w:ind w:firstLine="0" w:firstLineChars="0"/>
              <w:jc w:val="left"/>
              <w:rPr>
                <w:sz w:val="15"/>
                <w:szCs w:val="15"/>
              </w:rPr>
            </w:pPr>
            <w:r>
              <w:rPr>
                <w:rFonts w:hint="eastAsia"/>
                <w:sz w:val="15"/>
                <w:szCs w:val="15"/>
              </w:rPr>
              <w:t>生态经济</w:t>
            </w:r>
          </w:p>
        </w:tc>
        <w:tc>
          <w:tcPr>
            <w:tcW w:w="709" w:type="dxa"/>
            <w:vMerge w:val="restart"/>
            <w:vAlign w:val="center"/>
          </w:tcPr>
          <w:p>
            <w:pPr>
              <w:widowControl/>
              <w:spacing w:line="240" w:lineRule="auto"/>
              <w:ind w:firstLine="0" w:firstLineChars="0"/>
              <w:jc w:val="left"/>
              <w:rPr>
                <w:sz w:val="15"/>
                <w:szCs w:val="15"/>
              </w:rPr>
            </w:pPr>
            <w:r>
              <w:rPr>
                <w:rFonts w:hint="eastAsia"/>
                <w:sz w:val="15"/>
                <w:szCs w:val="15"/>
              </w:rPr>
              <w:t>（六）资源节约与利用</w:t>
            </w:r>
          </w:p>
        </w:tc>
        <w:tc>
          <w:tcPr>
            <w:tcW w:w="567" w:type="dxa"/>
            <w:vAlign w:val="center"/>
          </w:tcPr>
          <w:p>
            <w:pPr>
              <w:widowControl/>
              <w:spacing w:line="240" w:lineRule="auto"/>
              <w:ind w:firstLine="0" w:firstLineChars="0"/>
              <w:jc w:val="center"/>
              <w:rPr>
                <w:sz w:val="15"/>
                <w:szCs w:val="15"/>
              </w:rPr>
            </w:pPr>
            <w:r>
              <w:rPr>
                <w:sz w:val="15"/>
                <w:szCs w:val="15"/>
              </w:rPr>
              <w:t>20</w:t>
            </w:r>
          </w:p>
        </w:tc>
        <w:tc>
          <w:tcPr>
            <w:tcW w:w="2835" w:type="dxa"/>
            <w:vAlign w:val="center"/>
          </w:tcPr>
          <w:p>
            <w:pPr>
              <w:widowControl/>
              <w:spacing w:line="240" w:lineRule="auto"/>
              <w:ind w:firstLine="0" w:firstLineChars="0"/>
              <w:jc w:val="left"/>
              <w:rPr>
                <w:sz w:val="15"/>
                <w:szCs w:val="15"/>
              </w:rPr>
            </w:pPr>
            <w:bookmarkStart w:id="28" w:name="_Hlk131690067"/>
            <w:r>
              <w:rPr>
                <w:rFonts w:hint="eastAsia"/>
                <w:sz w:val="15"/>
                <w:szCs w:val="15"/>
              </w:rPr>
              <w:t>单位地区生产总值能耗</w:t>
            </w:r>
            <w:bookmarkEnd w:id="28"/>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吨标准煤/万元</w:t>
            </w:r>
          </w:p>
        </w:tc>
        <w:tc>
          <w:tcPr>
            <w:tcW w:w="1134" w:type="dxa"/>
            <w:vAlign w:val="center"/>
          </w:tcPr>
          <w:p>
            <w:pPr>
              <w:widowControl/>
              <w:spacing w:line="240" w:lineRule="auto"/>
              <w:ind w:firstLine="0" w:firstLineChars="0"/>
              <w:jc w:val="left"/>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完成上级规定的目标任务；保持稳定或持续改善</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0.218</w:t>
            </w: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13.4%</w:t>
            </w:r>
            <w:r>
              <w:rPr>
                <w:rFonts w:hint="eastAsia"/>
                <w:color w:val="000000" w:themeColor="text1"/>
                <w:sz w:val="15"/>
                <w:szCs w:val="15"/>
                <w14:textFill>
                  <w14:solidFill>
                    <w14:schemeClr w14:val="tx1"/>
                  </w14:solidFill>
                </w14:textFill>
              </w:rPr>
              <w:t>）</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0.198</w:t>
            </w:r>
          </w:p>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年均下降率</w:t>
            </w:r>
            <w:r>
              <w:rPr>
                <w:color w:val="000000" w:themeColor="text1"/>
                <w:sz w:val="15"/>
                <w:szCs w:val="15"/>
                <w14:textFill>
                  <w14:solidFill>
                    <w14:schemeClr w14:val="tx1"/>
                  </w14:solidFill>
                </w14:textFill>
              </w:rPr>
              <w:t>2.6</w:t>
            </w:r>
            <w:r>
              <w:rPr>
                <w:rFonts w:hint="eastAsia"/>
                <w:color w:val="000000" w:themeColor="text1"/>
                <w:sz w:val="15"/>
                <w:szCs w:val="15"/>
                <w14:textFill>
                  <w14:solidFill>
                    <w14:schemeClr w14:val="tx1"/>
                  </w14:solidFill>
                </w14:textFill>
              </w:rPr>
              <w:t>%，五年累计降低1</w:t>
            </w:r>
            <w:r>
              <w:rPr>
                <w:color w:val="000000" w:themeColor="text1"/>
                <w:sz w:val="15"/>
                <w:szCs w:val="15"/>
                <w14:textFill>
                  <w14:solidFill>
                    <w14:schemeClr w14:val="tx1"/>
                  </w14:solidFill>
                </w14:textFill>
              </w:rPr>
              <w:t>3%</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完成上级规定的目标任务</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2</w:t>
            </w:r>
            <w:r>
              <w:rPr>
                <w:sz w:val="15"/>
                <w:szCs w:val="15"/>
              </w:rPr>
              <w:t>1</w:t>
            </w:r>
          </w:p>
        </w:tc>
        <w:tc>
          <w:tcPr>
            <w:tcW w:w="2835" w:type="dxa"/>
            <w:vAlign w:val="center"/>
          </w:tcPr>
          <w:p>
            <w:pPr>
              <w:widowControl/>
              <w:spacing w:line="240" w:lineRule="auto"/>
              <w:ind w:firstLine="0" w:firstLineChars="0"/>
              <w:jc w:val="left"/>
              <w:rPr>
                <w:sz w:val="15"/>
                <w:szCs w:val="15"/>
              </w:rPr>
            </w:pPr>
            <w:r>
              <w:rPr>
                <w:rFonts w:hint="eastAsia" w:ascii="宋体" w:hAnsi="宋体"/>
                <w:sz w:val="15"/>
                <w:szCs w:val="15"/>
              </w:rPr>
              <w:t>单位地区生产总值用水量</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立方米/万元</w:t>
            </w:r>
          </w:p>
        </w:tc>
        <w:tc>
          <w:tcPr>
            <w:tcW w:w="1134" w:type="dxa"/>
            <w:vAlign w:val="center"/>
          </w:tcPr>
          <w:p>
            <w:pPr>
              <w:widowControl/>
              <w:spacing w:line="240" w:lineRule="auto"/>
              <w:ind w:firstLine="0" w:firstLineChars="0"/>
              <w:jc w:val="left"/>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完成上级规定的目标任务；保持稳定或持续改善</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2.05%</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年均下降率</w:t>
            </w:r>
            <w:r>
              <w:rPr>
                <w:color w:val="000000" w:themeColor="text1"/>
                <w:sz w:val="15"/>
                <w:szCs w:val="15"/>
                <w14:textFill>
                  <w14:solidFill>
                    <w14:schemeClr w14:val="tx1"/>
                  </w14:solidFill>
                </w14:textFill>
              </w:rPr>
              <w:t>1.286</w:t>
            </w:r>
            <w:r>
              <w:rPr>
                <w:rFonts w:hint="eastAsia"/>
                <w:color w:val="000000" w:themeColor="text1"/>
                <w:sz w:val="15"/>
                <w:szCs w:val="15"/>
                <w14:textFill>
                  <w14:solidFill>
                    <w14:schemeClr w14:val="tx1"/>
                  </w14:solidFill>
                </w14:textFill>
              </w:rPr>
              <w:t>%，五年累计下降</w:t>
            </w:r>
            <w:r>
              <w:rPr>
                <w:color w:val="000000" w:themeColor="text1"/>
                <w:sz w:val="15"/>
                <w:szCs w:val="15"/>
                <w14:textFill>
                  <w14:solidFill>
                    <w14:schemeClr w14:val="tx1"/>
                  </w14:solidFill>
                </w14:textFill>
              </w:rPr>
              <w:t>6.43%</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持续改善</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54" w:hRule="atLeast"/>
        </w:trPr>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2</w:t>
            </w:r>
            <w:r>
              <w:rPr>
                <w:sz w:val="15"/>
                <w:szCs w:val="15"/>
              </w:rPr>
              <w:t>2</w:t>
            </w:r>
          </w:p>
        </w:tc>
        <w:tc>
          <w:tcPr>
            <w:tcW w:w="2835" w:type="dxa"/>
            <w:vAlign w:val="center"/>
          </w:tcPr>
          <w:p>
            <w:pPr>
              <w:widowControl/>
              <w:spacing w:line="240" w:lineRule="auto"/>
              <w:ind w:firstLine="0" w:firstLineChars="0"/>
              <w:jc w:val="left"/>
              <w:rPr>
                <w:sz w:val="15"/>
                <w:szCs w:val="15"/>
              </w:rPr>
            </w:pPr>
            <w:r>
              <w:rPr>
                <w:rFonts w:hint="eastAsia" w:ascii="宋体" w:hAnsi="宋体"/>
                <w:sz w:val="15"/>
                <w:szCs w:val="15"/>
              </w:rPr>
              <w:t>单位国内生产总值建设用地使用面积下降率</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ascii="宋体" w:hAnsi="宋体"/>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≥4</w:t>
            </w:r>
            <w:r>
              <w:rPr>
                <w:color w:val="000000" w:themeColor="text1"/>
                <w:sz w:val="15"/>
                <w:szCs w:val="15"/>
                <w14:textFill>
                  <w14:solidFill>
                    <w14:schemeClr w14:val="tx1"/>
                  </w14:solidFill>
                </w14:textFill>
              </w:rPr>
              <w:t>.5</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13.99</w:t>
            </w:r>
            <w:r>
              <w:rPr>
                <w:color w:val="000000" w:themeColor="text1"/>
                <w:sz w:val="15"/>
                <w:szCs w:val="15"/>
                <w14:textFill>
                  <w14:solidFill>
                    <w14:schemeClr w14:val="tx1"/>
                  </w14:solidFill>
                </w14:textFill>
              </w:rPr>
              <w:t>%</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年均下降率</w:t>
            </w:r>
            <w:r>
              <w:rPr>
                <w:color w:val="000000" w:themeColor="text1"/>
                <w:sz w:val="15"/>
                <w:szCs w:val="15"/>
                <w14:textFill>
                  <w14:solidFill>
                    <w14:schemeClr w14:val="tx1"/>
                  </w14:solidFill>
                </w14:textFill>
              </w:rPr>
              <w:t>4</w:t>
            </w:r>
            <w:r>
              <w:rPr>
                <w:rFonts w:hint="eastAsia"/>
                <w:color w:val="000000" w:themeColor="text1"/>
                <w:sz w:val="15"/>
                <w:szCs w:val="15"/>
                <w14:textFill>
                  <w14:solidFill>
                    <w14:schemeClr w14:val="tx1"/>
                  </w14:solidFill>
                </w14:textFill>
              </w:rPr>
              <w:t>%，五年累计降低</w:t>
            </w:r>
            <w:r>
              <w:rPr>
                <w:color w:val="000000" w:themeColor="text1"/>
                <w:sz w:val="15"/>
                <w:szCs w:val="15"/>
                <w14:textFill>
                  <w14:solidFill>
                    <w14:schemeClr w14:val="tx1"/>
                  </w14:solidFill>
                </w14:textFill>
              </w:rPr>
              <w:t>20%</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≥13.99</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2</w:t>
            </w:r>
            <w:r>
              <w:rPr>
                <w:sz w:val="15"/>
                <w:szCs w:val="15"/>
              </w:rPr>
              <w:t>3</w:t>
            </w:r>
          </w:p>
        </w:tc>
        <w:tc>
          <w:tcPr>
            <w:tcW w:w="2835" w:type="dxa"/>
            <w:vAlign w:val="center"/>
          </w:tcPr>
          <w:p>
            <w:pPr>
              <w:widowControl/>
              <w:spacing w:line="240" w:lineRule="auto"/>
              <w:ind w:firstLine="0" w:firstLineChars="0"/>
              <w:jc w:val="left"/>
              <w:rPr>
                <w:b/>
                <w:bCs/>
                <w:sz w:val="15"/>
                <w:szCs w:val="15"/>
              </w:rPr>
            </w:pPr>
            <w:r>
              <w:rPr>
                <w:rFonts w:hint="eastAsia"/>
                <w:b/>
                <w:bCs/>
                <w:sz w:val="15"/>
                <w:szCs w:val="15"/>
              </w:rPr>
              <w:t>化肥农药减量化</w:t>
            </w:r>
          </w:p>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1 \* GB3</w:instrText>
            </w:r>
            <w:r>
              <w:rPr>
                <w:sz w:val="15"/>
                <w:szCs w:val="15"/>
              </w:rPr>
              <w:instrText xml:space="preserve"> </w:instrText>
            </w:r>
            <w:r>
              <w:rPr>
                <w:sz w:val="15"/>
                <w:szCs w:val="15"/>
              </w:rPr>
              <w:fldChar w:fldCharType="separate"/>
            </w:r>
            <w:r>
              <w:rPr>
                <w:rFonts w:hint="eastAsia"/>
                <w:sz w:val="15"/>
                <w:szCs w:val="15"/>
              </w:rPr>
              <w:t>①</w:t>
            </w:r>
            <w:r>
              <w:rPr>
                <w:sz w:val="15"/>
                <w:szCs w:val="15"/>
              </w:rPr>
              <w:fldChar w:fldCharType="end"/>
            </w:r>
            <w:r>
              <w:rPr>
                <w:rFonts w:hint="eastAsia"/>
                <w:sz w:val="15"/>
                <w:szCs w:val="15"/>
              </w:rPr>
              <w:t>主要农作物化肥亩均施用量</w:t>
            </w:r>
          </w:p>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2 \* GB3</w:instrText>
            </w:r>
            <w:r>
              <w:rPr>
                <w:sz w:val="15"/>
                <w:szCs w:val="15"/>
              </w:rPr>
              <w:instrText xml:space="preserve"> </w:instrText>
            </w:r>
            <w:r>
              <w:rPr>
                <w:sz w:val="15"/>
                <w:szCs w:val="15"/>
              </w:rPr>
              <w:fldChar w:fldCharType="separate"/>
            </w:r>
            <w:r>
              <w:rPr>
                <w:rFonts w:hint="eastAsia"/>
                <w:sz w:val="15"/>
                <w:szCs w:val="15"/>
              </w:rPr>
              <w:t>②</w:t>
            </w:r>
            <w:r>
              <w:rPr>
                <w:sz w:val="15"/>
                <w:szCs w:val="15"/>
              </w:rPr>
              <w:fldChar w:fldCharType="end"/>
            </w:r>
            <w:r>
              <w:rPr>
                <w:rFonts w:hint="eastAsia"/>
                <w:sz w:val="15"/>
                <w:szCs w:val="15"/>
              </w:rPr>
              <w:t>主要农作物农药亩均施用量</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千克</w:t>
            </w:r>
            <w:r>
              <w:rPr>
                <w:color w:val="000000" w:themeColor="text1"/>
                <w:sz w:val="15"/>
                <w:szCs w:val="15"/>
                <w14:textFill>
                  <w14:solidFill>
                    <w14:schemeClr w14:val="tx1"/>
                  </w14:solidFill>
                </w14:textFill>
              </w:rPr>
              <w:t>/</w:t>
            </w:r>
            <w:r>
              <w:rPr>
                <w:rFonts w:hint="eastAsia"/>
                <w:color w:val="000000" w:themeColor="text1"/>
                <w:sz w:val="15"/>
                <w:szCs w:val="15"/>
                <w14:textFill>
                  <w14:solidFill>
                    <w14:schemeClr w14:val="tx1"/>
                  </w14:solidFill>
                </w14:textFill>
              </w:rPr>
              <w:t>亩</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减少</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县</w:t>
            </w:r>
          </w:p>
        </w:tc>
        <w:tc>
          <w:tcPr>
            <w:tcW w:w="1546" w:type="dxa"/>
            <w:vAlign w:val="center"/>
          </w:tcPr>
          <w:p>
            <w:pPr>
              <w:widowControl/>
              <w:spacing w:line="240" w:lineRule="auto"/>
              <w:ind w:firstLine="0" w:firstLineChars="0"/>
              <w:jc w:val="left"/>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color w:val="000000" w:themeColor="text1"/>
                <w:sz w:val="15"/>
                <w:szCs w:val="15"/>
                <w14:textFill>
                  <w14:solidFill>
                    <w14:schemeClr w14:val="tx1"/>
                  </w14:solidFill>
                </w14:textFill>
              </w:rPr>
              <w:t>-13.04</w:t>
            </w:r>
            <w:r>
              <w:rPr>
                <w:rFonts w:hint="eastAsia"/>
                <w:color w:val="000000" w:themeColor="text1"/>
                <w:sz w:val="15"/>
                <w:szCs w:val="15"/>
                <w14:textFill>
                  <w14:solidFill>
                    <w14:schemeClr w14:val="tx1"/>
                  </w14:solidFill>
                </w14:textFill>
              </w:rPr>
              <w:t>千克/亩</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color w:val="000000" w:themeColor="text1"/>
                <w:sz w:val="15"/>
                <w:szCs w:val="15"/>
                <w14:textFill>
                  <w14:solidFill>
                    <w14:schemeClr w14:val="tx1"/>
                  </w14:solidFill>
                </w14:textFill>
              </w:rPr>
              <w:t>-0.27</w:t>
            </w:r>
            <w:r>
              <w:rPr>
                <w:rFonts w:hint="eastAsia"/>
                <w:color w:val="000000" w:themeColor="text1"/>
                <w:sz w:val="15"/>
                <w:szCs w:val="15"/>
                <w14:textFill>
                  <w14:solidFill>
                    <w14:schemeClr w14:val="tx1"/>
                  </w14:solidFill>
                </w14:textFill>
              </w:rPr>
              <w:t>千克/亩</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-13.04</w:t>
            </w:r>
            <w:r>
              <w:rPr>
                <w:rFonts w:hint="eastAsia"/>
                <w:color w:val="000000" w:themeColor="text1"/>
                <w:sz w:val="15"/>
                <w:szCs w:val="15"/>
                <w14:textFill>
                  <w14:solidFill>
                    <w14:schemeClr w14:val="tx1"/>
                  </w14:solidFill>
                </w14:textFill>
              </w:rPr>
              <w:t>千克/亩</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-0.27</w:t>
            </w:r>
            <w:r>
              <w:rPr>
                <w:rFonts w:hint="eastAsia"/>
                <w:color w:val="000000" w:themeColor="text1"/>
                <w:sz w:val="15"/>
                <w:szCs w:val="15"/>
                <w14:textFill>
                  <w14:solidFill>
                    <w14:schemeClr w14:val="tx1"/>
                  </w14:solidFill>
                </w14:textFill>
              </w:rPr>
              <w:t>千克/亩</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减少</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restart"/>
            <w:vAlign w:val="center"/>
          </w:tcPr>
          <w:p>
            <w:pPr>
              <w:widowControl/>
              <w:spacing w:line="240" w:lineRule="auto"/>
              <w:ind w:firstLine="0" w:firstLineChars="0"/>
              <w:jc w:val="left"/>
              <w:rPr>
                <w:sz w:val="15"/>
                <w:szCs w:val="15"/>
              </w:rPr>
            </w:pPr>
            <w:r>
              <w:rPr>
                <w:rFonts w:hint="eastAsia"/>
                <w:sz w:val="15"/>
                <w:szCs w:val="15"/>
              </w:rPr>
              <w:t>（七）产业循环发展</w:t>
            </w:r>
          </w:p>
        </w:tc>
        <w:tc>
          <w:tcPr>
            <w:tcW w:w="567" w:type="dxa"/>
            <w:vAlign w:val="center"/>
          </w:tcPr>
          <w:p>
            <w:pPr>
              <w:widowControl/>
              <w:spacing w:line="240" w:lineRule="auto"/>
              <w:ind w:firstLine="0" w:firstLineChars="0"/>
              <w:jc w:val="center"/>
              <w:rPr>
                <w:sz w:val="15"/>
                <w:szCs w:val="15"/>
              </w:rPr>
            </w:pPr>
            <w:r>
              <w:rPr>
                <w:rFonts w:hint="eastAsia"/>
                <w:sz w:val="15"/>
                <w:szCs w:val="15"/>
              </w:rPr>
              <w:t>2</w:t>
            </w:r>
            <w:r>
              <w:rPr>
                <w:sz w:val="15"/>
                <w:szCs w:val="15"/>
              </w:rPr>
              <w:t>4</w:t>
            </w:r>
          </w:p>
        </w:tc>
        <w:tc>
          <w:tcPr>
            <w:tcW w:w="2835" w:type="dxa"/>
            <w:vAlign w:val="center"/>
          </w:tcPr>
          <w:p>
            <w:pPr>
              <w:widowControl/>
              <w:spacing w:line="240" w:lineRule="auto"/>
              <w:ind w:firstLine="0" w:firstLineChars="0"/>
              <w:jc w:val="left"/>
              <w:rPr>
                <w:b/>
                <w:bCs/>
                <w:sz w:val="15"/>
                <w:szCs w:val="15"/>
              </w:rPr>
            </w:pPr>
            <w:bookmarkStart w:id="29" w:name="_Hlk143409416"/>
            <w:r>
              <w:rPr>
                <w:rFonts w:hint="eastAsia"/>
                <w:b/>
                <w:bCs/>
                <w:sz w:val="15"/>
                <w:szCs w:val="15"/>
              </w:rPr>
              <w:t>农业废弃物综合利用率</w:t>
            </w:r>
          </w:p>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1 \* GB3</w:instrText>
            </w:r>
            <w:r>
              <w:rPr>
                <w:sz w:val="15"/>
                <w:szCs w:val="15"/>
              </w:rPr>
              <w:instrText xml:space="preserve"> </w:instrText>
            </w:r>
            <w:r>
              <w:rPr>
                <w:sz w:val="15"/>
                <w:szCs w:val="15"/>
              </w:rPr>
              <w:fldChar w:fldCharType="separate"/>
            </w:r>
            <w:r>
              <w:rPr>
                <w:rFonts w:hint="eastAsia"/>
                <w:sz w:val="15"/>
                <w:szCs w:val="15"/>
              </w:rPr>
              <w:t>①</w:t>
            </w:r>
            <w:r>
              <w:rPr>
                <w:sz w:val="15"/>
                <w:szCs w:val="15"/>
              </w:rPr>
              <w:fldChar w:fldCharType="end"/>
            </w:r>
            <w:r>
              <w:rPr>
                <w:rFonts w:hint="eastAsia"/>
                <w:sz w:val="15"/>
                <w:szCs w:val="15"/>
              </w:rPr>
              <w:t>秸秆综合利用率</w:t>
            </w:r>
          </w:p>
          <w:bookmarkEnd w:id="29"/>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2 \* GB3</w:instrText>
            </w:r>
            <w:r>
              <w:rPr>
                <w:sz w:val="15"/>
                <w:szCs w:val="15"/>
              </w:rPr>
              <w:instrText xml:space="preserve"> </w:instrText>
            </w:r>
            <w:r>
              <w:rPr>
                <w:sz w:val="15"/>
                <w:szCs w:val="15"/>
              </w:rPr>
              <w:fldChar w:fldCharType="separate"/>
            </w:r>
            <w:r>
              <w:rPr>
                <w:rFonts w:hint="eastAsia"/>
                <w:sz w:val="15"/>
                <w:szCs w:val="15"/>
              </w:rPr>
              <w:t>②</w:t>
            </w:r>
            <w:r>
              <w:rPr>
                <w:sz w:val="15"/>
                <w:szCs w:val="15"/>
              </w:rPr>
              <w:fldChar w:fldCharType="end"/>
            </w:r>
            <w:r>
              <w:rPr>
                <w:rFonts w:hint="eastAsia"/>
                <w:sz w:val="15"/>
                <w:szCs w:val="15"/>
              </w:rPr>
              <w:t>畜禽粪污综合利用率</w:t>
            </w:r>
          </w:p>
          <w:p>
            <w:pPr>
              <w:widowControl/>
              <w:spacing w:line="240" w:lineRule="auto"/>
              <w:ind w:firstLine="0" w:firstLineChars="0"/>
              <w:jc w:val="left"/>
              <w:rPr>
                <w:sz w:val="15"/>
                <w:szCs w:val="15"/>
              </w:rPr>
            </w:pPr>
            <w:r>
              <w:rPr>
                <w:sz w:val="15"/>
                <w:szCs w:val="15"/>
              </w:rPr>
              <w:fldChar w:fldCharType="begin"/>
            </w:r>
            <w:r>
              <w:rPr>
                <w:sz w:val="15"/>
                <w:szCs w:val="15"/>
              </w:rPr>
              <w:instrText xml:space="preserve"> </w:instrText>
            </w:r>
            <w:r>
              <w:rPr>
                <w:rFonts w:hint="eastAsia"/>
                <w:sz w:val="15"/>
                <w:szCs w:val="15"/>
              </w:rPr>
              <w:instrText xml:space="preserve">= 3 \* GB3</w:instrText>
            </w:r>
            <w:r>
              <w:rPr>
                <w:sz w:val="15"/>
                <w:szCs w:val="15"/>
              </w:rPr>
              <w:instrText xml:space="preserve"> </w:instrText>
            </w:r>
            <w:r>
              <w:rPr>
                <w:sz w:val="15"/>
                <w:szCs w:val="15"/>
              </w:rPr>
              <w:fldChar w:fldCharType="separate"/>
            </w:r>
            <w:r>
              <w:rPr>
                <w:rFonts w:hint="eastAsia"/>
                <w:sz w:val="15"/>
                <w:szCs w:val="15"/>
              </w:rPr>
              <w:t>③</w:t>
            </w:r>
            <w:r>
              <w:rPr>
                <w:sz w:val="15"/>
                <w:szCs w:val="15"/>
              </w:rPr>
              <w:fldChar w:fldCharType="end"/>
            </w:r>
            <w:r>
              <w:rPr>
                <w:rFonts w:hint="eastAsia"/>
                <w:sz w:val="15"/>
                <w:szCs w:val="15"/>
              </w:rPr>
              <w:t>农膜回用利用率</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tcPr>
          <w:p>
            <w:pPr>
              <w:widowControl/>
              <w:spacing w:line="240" w:lineRule="auto"/>
              <w:ind w:firstLine="0" w:firstLineChars="0"/>
              <w:jc w:val="left"/>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≥9</w:t>
            </w:r>
            <w:r>
              <w:rPr>
                <w:color w:val="000000" w:themeColor="text1"/>
                <w:sz w:val="15"/>
                <w:szCs w:val="15"/>
                <w14:textFill>
                  <w14:solidFill>
                    <w14:schemeClr w14:val="tx1"/>
                  </w14:solidFill>
                </w14:textFill>
              </w:rPr>
              <w:t>0</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75</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3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③</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80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w:t>
            </w:r>
            <w:r>
              <w:rPr>
                <w:b/>
                <w:bCs/>
                <w:color w:val="000000" w:themeColor="text1"/>
                <w:sz w:val="15"/>
                <w:szCs w:val="15"/>
                <w14:textFill>
                  <w14:solidFill>
                    <w14:schemeClr w14:val="tx1"/>
                  </w14:solidFill>
                </w14:textFill>
              </w:rPr>
              <w:t>88.98</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89</w:t>
            </w:r>
          </w:p>
          <w:p>
            <w:pPr>
              <w:widowControl/>
              <w:spacing w:line="240" w:lineRule="auto"/>
              <w:ind w:firstLine="0" w:firstLineChars="0"/>
              <w:jc w:val="center"/>
              <w:rPr>
                <w:b/>
                <w:bCs/>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3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③</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1</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≥9</w:t>
            </w:r>
            <w:r>
              <w:rPr>
                <w:color w:val="000000" w:themeColor="text1"/>
                <w:sz w:val="15"/>
                <w:szCs w:val="15"/>
                <w14:textFill>
                  <w14:solidFill>
                    <w14:schemeClr w14:val="tx1"/>
                  </w14:solidFill>
                </w14:textFill>
              </w:rPr>
              <w:t>0</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89</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3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③</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81</w:t>
            </w:r>
          </w:p>
        </w:tc>
        <w:tc>
          <w:tcPr>
            <w:tcW w:w="680" w:type="dxa"/>
            <w:vAlign w:val="center"/>
          </w:tcPr>
          <w:p>
            <w:pPr>
              <w:widowControl/>
              <w:spacing w:line="240" w:lineRule="auto"/>
              <w:ind w:firstLine="0" w:firstLineChars="0"/>
              <w:jc w:val="center"/>
              <w:rPr>
                <w:b/>
                <w:bCs/>
                <w:color w:val="000000" w:themeColor="text1"/>
                <w:sz w:val="15"/>
                <w:szCs w:val="15"/>
                <w14:textFill>
                  <w14:solidFill>
                    <w14:schemeClr w14:val="tx1"/>
                  </w14:solidFill>
                </w14:textFill>
              </w:rPr>
            </w:pPr>
            <w:r>
              <w:rPr>
                <w:rFonts w:hint="eastAsia"/>
                <w:b/>
                <w:bCs/>
                <w:color w:val="000000" w:themeColor="text1"/>
                <w:sz w:val="15"/>
                <w:szCs w:val="15"/>
                <w14:textFill>
                  <w14:solidFill>
                    <w14:schemeClr w14:val="tx1"/>
                  </w14:solidFill>
                </w14:textFill>
              </w:rPr>
              <w:t>否</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1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①</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≥9</w:t>
            </w:r>
            <w:r>
              <w:rPr>
                <w:color w:val="000000" w:themeColor="text1"/>
                <w:sz w:val="15"/>
                <w:szCs w:val="15"/>
                <w14:textFill>
                  <w14:solidFill>
                    <w14:schemeClr w14:val="tx1"/>
                  </w14:solidFill>
                </w14:textFill>
              </w:rPr>
              <w:t>0</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2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②</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89</w:t>
            </w:r>
          </w:p>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r>
            <w:r>
              <w:rPr>
                <w:color w:val="000000" w:themeColor="text1"/>
                <w:sz w:val="15"/>
                <w:szCs w:val="15"/>
                <w14:textFill>
                  <w14:solidFill>
                    <w14:schemeClr w14:val="tx1"/>
                  </w14:solidFill>
                </w14:textFill>
              </w:rPr>
              <w:instrText xml:space="preserve"> </w:instrText>
            </w:r>
            <w:r>
              <w:rPr>
                <w:rFonts w:hint="eastAsia"/>
                <w:color w:val="000000" w:themeColor="text1"/>
                <w:sz w:val="15"/>
                <w:szCs w:val="15"/>
                <w14:textFill>
                  <w14:solidFill>
                    <w14:schemeClr w14:val="tx1"/>
                  </w14:solidFill>
                </w14:textFill>
              </w:rPr>
              <w:instrText xml:space="preserve">= 3 \* GB3</w:instrText>
            </w:r>
            <w:r>
              <w:rPr>
                <w:color w:val="000000" w:themeColor="text1"/>
                <w:sz w:val="15"/>
                <w:szCs w:val="15"/>
                <w14:textFill>
                  <w14:solidFill>
                    <w14:schemeClr w14:val="tx1"/>
                  </w14:solidFill>
                </w14:textFill>
              </w:rPr>
              <w:instrText xml:space="preserve"> </w:instrText>
            </w:r>
            <w:r>
              <w:rPr>
                <w:color w:val="000000" w:themeColor="text1"/>
                <w:sz w:val="15"/>
                <w:szCs w:val="15"/>
                <w14:textFill>
                  <w14:solidFill>
                    <w14:schemeClr w14:val="tx1"/>
                  </w14:solidFill>
                </w14:textFill>
              </w:rPr>
              <w:fldChar w:fldCharType="separate"/>
            </w:r>
            <w:r>
              <w:rPr>
                <w:rFonts w:hint="eastAsia"/>
                <w:color w:val="000000" w:themeColor="text1"/>
                <w:sz w:val="15"/>
                <w:szCs w:val="15"/>
                <w14:textFill>
                  <w14:solidFill>
                    <w14:schemeClr w14:val="tx1"/>
                  </w14:solidFill>
                </w14:textFill>
              </w:rPr>
              <w:t>③</w:t>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81</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2</w:t>
            </w:r>
            <w:r>
              <w:rPr>
                <w:sz w:val="15"/>
                <w:szCs w:val="15"/>
              </w:rPr>
              <w:t>5</w:t>
            </w:r>
          </w:p>
        </w:tc>
        <w:tc>
          <w:tcPr>
            <w:tcW w:w="2835" w:type="dxa"/>
            <w:vAlign w:val="center"/>
          </w:tcPr>
          <w:p>
            <w:pPr>
              <w:widowControl/>
              <w:spacing w:line="240" w:lineRule="auto"/>
              <w:ind w:firstLine="0" w:firstLineChars="0"/>
              <w:jc w:val="left"/>
              <w:rPr>
                <w:b/>
                <w:bCs/>
                <w:sz w:val="15"/>
                <w:szCs w:val="15"/>
              </w:rPr>
            </w:pPr>
            <w:r>
              <w:rPr>
                <w:rFonts w:hint="eastAsia"/>
                <w:b/>
                <w:bCs/>
                <w:sz w:val="15"/>
                <w:szCs w:val="15"/>
              </w:rPr>
              <w:t>一般工业固体废物综合利用率提高幅度</w:t>
            </w:r>
          </w:p>
          <w:p>
            <w:pPr>
              <w:widowControl/>
              <w:spacing w:line="240" w:lineRule="auto"/>
              <w:ind w:firstLine="0" w:firstLineChars="0"/>
              <w:jc w:val="left"/>
              <w:rPr>
                <w:sz w:val="15"/>
                <w:szCs w:val="15"/>
              </w:rPr>
            </w:pPr>
            <w:r>
              <w:rPr>
                <w:rFonts w:hint="eastAsia"/>
                <w:sz w:val="15"/>
                <w:szCs w:val="15"/>
              </w:rPr>
              <w:t>综合利用率＞60%的地区</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left"/>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保持稳定或持续改善</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94.4</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94.4</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94.4</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restart"/>
            <w:vAlign w:val="center"/>
          </w:tcPr>
          <w:p>
            <w:pPr>
              <w:widowControl/>
              <w:spacing w:line="240" w:lineRule="auto"/>
              <w:ind w:firstLine="0" w:firstLineChars="0"/>
              <w:jc w:val="left"/>
              <w:rPr>
                <w:sz w:val="15"/>
                <w:szCs w:val="15"/>
              </w:rPr>
            </w:pPr>
            <w:bookmarkStart w:id="30" w:name="_Hlk149485279"/>
            <w:r>
              <w:rPr>
                <w:rFonts w:hint="eastAsia"/>
                <w:sz w:val="15"/>
                <w:szCs w:val="15"/>
              </w:rPr>
              <w:t>生态生活</w:t>
            </w:r>
          </w:p>
        </w:tc>
        <w:tc>
          <w:tcPr>
            <w:tcW w:w="709" w:type="dxa"/>
            <w:vMerge w:val="restart"/>
            <w:vAlign w:val="center"/>
          </w:tcPr>
          <w:p>
            <w:pPr>
              <w:widowControl/>
              <w:spacing w:line="240" w:lineRule="auto"/>
              <w:ind w:firstLine="0" w:firstLineChars="0"/>
              <w:jc w:val="left"/>
              <w:rPr>
                <w:sz w:val="15"/>
                <w:szCs w:val="15"/>
              </w:rPr>
            </w:pPr>
            <w:r>
              <w:rPr>
                <w:rFonts w:hint="eastAsia"/>
                <w:sz w:val="15"/>
                <w:szCs w:val="15"/>
              </w:rPr>
              <w:t>（八）人居环境改善</w:t>
            </w:r>
          </w:p>
        </w:tc>
        <w:tc>
          <w:tcPr>
            <w:tcW w:w="567" w:type="dxa"/>
            <w:vAlign w:val="center"/>
          </w:tcPr>
          <w:p>
            <w:pPr>
              <w:widowControl/>
              <w:spacing w:line="240" w:lineRule="auto"/>
              <w:ind w:firstLine="0" w:firstLineChars="0"/>
              <w:jc w:val="center"/>
              <w:rPr>
                <w:sz w:val="15"/>
                <w:szCs w:val="15"/>
              </w:rPr>
            </w:pPr>
            <w:r>
              <w:rPr>
                <w:sz w:val="15"/>
                <w:szCs w:val="15"/>
              </w:rPr>
              <w:t>26</w:t>
            </w:r>
          </w:p>
        </w:tc>
        <w:tc>
          <w:tcPr>
            <w:tcW w:w="2835" w:type="dxa"/>
            <w:vAlign w:val="center"/>
          </w:tcPr>
          <w:p>
            <w:pPr>
              <w:widowControl/>
              <w:spacing w:line="240" w:lineRule="auto"/>
              <w:ind w:firstLine="0" w:firstLineChars="0"/>
              <w:jc w:val="left"/>
              <w:rPr>
                <w:sz w:val="15"/>
                <w:szCs w:val="15"/>
              </w:rPr>
            </w:pPr>
            <w:r>
              <w:rPr>
                <w:rFonts w:hint="eastAsia"/>
                <w:sz w:val="15"/>
                <w:szCs w:val="15"/>
              </w:rPr>
              <w:t>集中式饮用水水源地水质优良比例</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100</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vAlign w:val="center"/>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sz w:val="15"/>
                <w:szCs w:val="15"/>
              </w:rPr>
              <w:t>27</w:t>
            </w:r>
          </w:p>
        </w:tc>
        <w:tc>
          <w:tcPr>
            <w:tcW w:w="2835" w:type="dxa"/>
            <w:vAlign w:val="center"/>
          </w:tcPr>
          <w:p>
            <w:pPr>
              <w:widowControl/>
              <w:spacing w:line="240" w:lineRule="auto"/>
              <w:ind w:firstLine="0" w:firstLineChars="0"/>
              <w:jc w:val="left"/>
              <w:rPr>
                <w:sz w:val="15"/>
                <w:szCs w:val="15"/>
              </w:rPr>
            </w:pPr>
            <w:r>
              <w:rPr>
                <w:rFonts w:hint="eastAsia"/>
                <w:sz w:val="15"/>
                <w:szCs w:val="15"/>
              </w:rPr>
              <w:t>村镇饮用水卫生合格率</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县</w:t>
            </w:r>
          </w:p>
        </w:tc>
        <w:tc>
          <w:tcPr>
            <w:tcW w:w="1546" w:type="dxa"/>
            <w:vAlign w:val="center"/>
          </w:tcPr>
          <w:p>
            <w:pPr>
              <w:widowControl/>
              <w:spacing w:line="240" w:lineRule="auto"/>
              <w:ind w:firstLine="0" w:firstLineChars="0"/>
              <w:jc w:val="center"/>
              <w:rPr>
                <w:b/>
                <w:bCs/>
                <w:color w:val="000000" w:themeColor="text1"/>
                <w:sz w:val="15"/>
                <w:szCs w:val="15"/>
                <w14:textFill>
                  <w14:solidFill>
                    <w14:schemeClr w14:val="tx1"/>
                  </w14:solidFill>
                </w14:textFill>
              </w:rPr>
            </w:pPr>
            <w:r>
              <w:rPr>
                <w:b/>
                <w:bCs/>
                <w:color w:val="000000" w:themeColor="text1"/>
                <w:sz w:val="15"/>
                <w:szCs w:val="15"/>
                <w14:textFill>
                  <w14:solidFill>
                    <w14:schemeClr w14:val="tx1"/>
                  </w14:solidFill>
                </w14:textFill>
              </w:rPr>
              <w:t>88.2</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100</w:t>
            </w:r>
          </w:p>
        </w:tc>
        <w:tc>
          <w:tcPr>
            <w:tcW w:w="680" w:type="dxa"/>
            <w:vAlign w:val="center"/>
          </w:tcPr>
          <w:p>
            <w:pPr>
              <w:widowControl/>
              <w:spacing w:line="240" w:lineRule="auto"/>
              <w:ind w:firstLine="0" w:firstLineChars="0"/>
              <w:jc w:val="center"/>
              <w:rPr>
                <w:b/>
                <w:bCs/>
                <w:color w:val="000000" w:themeColor="text1"/>
                <w:sz w:val="15"/>
                <w:szCs w:val="15"/>
                <w14:textFill>
                  <w14:solidFill>
                    <w14:schemeClr w14:val="tx1"/>
                  </w14:solidFill>
                </w14:textFill>
              </w:rPr>
            </w:pPr>
            <w:r>
              <w:rPr>
                <w:rFonts w:hint="eastAsia"/>
                <w:b/>
                <w:bCs/>
                <w:color w:val="000000" w:themeColor="text1"/>
                <w:sz w:val="15"/>
                <w:szCs w:val="15"/>
                <w14:textFill>
                  <w14:solidFill>
                    <w14:schemeClr w14:val="tx1"/>
                  </w14:solidFill>
                </w14:textFill>
              </w:rPr>
              <w:t>否</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978" w:type="dxa"/>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vAlign w:val="center"/>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sz w:val="15"/>
                <w:szCs w:val="15"/>
              </w:rPr>
              <w:t>28</w:t>
            </w:r>
          </w:p>
        </w:tc>
        <w:tc>
          <w:tcPr>
            <w:tcW w:w="2835" w:type="dxa"/>
            <w:vAlign w:val="center"/>
          </w:tcPr>
          <w:p>
            <w:pPr>
              <w:widowControl/>
              <w:spacing w:line="240" w:lineRule="auto"/>
              <w:ind w:firstLine="0" w:firstLineChars="0"/>
              <w:jc w:val="left"/>
              <w:rPr>
                <w:sz w:val="15"/>
                <w:szCs w:val="15"/>
              </w:rPr>
            </w:pPr>
            <w:r>
              <w:rPr>
                <w:rFonts w:hint="eastAsia"/>
                <w:sz w:val="15"/>
                <w:szCs w:val="15"/>
              </w:rPr>
              <w:t>城镇污水处理率</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市≥9</w:t>
            </w:r>
            <w:r>
              <w:rPr>
                <w:color w:val="000000" w:themeColor="text1"/>
                <w:sz w:val="15"/>
                <w:szCs w:val="15"/>
                <w14:textFill>
                  <w14:solidFill>
                    <w14:schemeClr w14:val="tx1"/>
                  </w14:solidFill>
                </w14:textFill>
              </w:rPr>
              <w:t>5</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97.39</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97.39</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97.39</w:t>
            </w:r>
          </w:p>
        </w:tc>
        <w:tc>
          <w:tcPr>
            <w:tcW w:w="978" w:type="dxa"/>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vAlign w:val="center"/>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sz w:val="15"/>
                <w:szCs w:val="15"/>
              </w:rPr>
              <w:t>29</w:t>
            </w:r>
          </w:p>
        </w:tc>
        <w:tc>
          <w:tcPr>
            <w:tcW w:w="2835" w:type="dxa"/>
            <w:vAlign w:val="center"/>
          </w:tcPr>
          <w:p>
            <w:pPr>
              <w:widowControl/>
              <w:spacing w:line="240" w:lineRule="auto"/>
              <w:ind w:firstLine="0" w:firstLineChars="0"/>
              <w:jc w:val="left"/>
              <w:rPr>
                <w:sz w:val="15"/>
                <w:szCs w:val="15"/>
              </w:rPr>
            </w:pPr>
            <w:r>
              <w:rPr>
                <w:rFonts w:hint="eastAsia"/>
                <w:sz w:val="15"/>
                <w:szCs w:val="15"/>
              </w:rPr>
              <w:t>农村生活污水治理率</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≥5</w:t>
            </w:r>
            <w:r>
              <w:rPr>
                <w:color w:val="000000" w:themeColor="text1"/>
                <w:sz w:val="15"/>
                <w:szCs w:val="15"/>
                <w14:textFill>
                  <w14:solidFill>
                    <w14:schemeClr w14:val="tx1"/>
                  </w14:solidFill>
                </w14:textFill>
              </w:rPr>
              <w:t>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b/>
                <w:bCs/>
                <w:color w:val="000000" w:themeColor="text1"/>
                <w:sz w:val="15"/>
                <w:szCs w:val="15"/>
                <w14:textFill>
                  <w14:solidFill>
                    <w14:schemeClr w14:val="tx1"/>
                  </w14:solidFill>
                </w14:textFill>
              </w:rPr>
            </w:pPr>
            <w:r>
              <w:rPr>
                <w:b/>
                <w:bCs/>
                <w:color w:val="000000" w:themeColor="text1"/>
                <w:sz w:val="15"/>
                <w:szCs w:val="15"/>
                <w14:textFill>
                  <w14:solidFill>
                    <w14:schemeClr w14:val="tx1"/>
                  </w14:solidFill>
                </w14:textFill>
              </w:rPr>
              <w:t>47.5</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r>
              <w:rPr>
                <w:color w:val="000000" w:themeColor="text1"/>
                <w:sz w:val="15"/>
                <w:szCs w:val="15"/>
                <w14:textFill>
                  <w14:solidFill>
                    <w14:schemeClr w14:val="tx1"/>
                  </w14:solidFill>
                </w14:textFill>
              </w:rPr>
              <w:t>66.8</w:t>
            </w:r>
          </w:p>
        </w:tc>
        <w:tc>
          <w:tcPr>
            <w:tcW w:w="680" w:type="dxa"/>
            <w:vAlign w:val="center"/>
          </w:tcPr>
          <w:p>
            <w:pPr>
              <w:widowControl/>
              <w:spacing w:line="240" w:lineRule="auto"/>
              <w:ind w:firstLine="0" w:firstLineChars="0"/>
              <w:jc w:val="center"/>
              <w:rPr>
                <w:b/>
                <w:bCs/>
                <w:color w:val="000000" w:themeColor="text1"/>
                <w:sz w:val="15"/>
                <w:szCs w:val="15"/>
                <w14:textFill>
                  <w14:solidFill>
                    <w14:schemeClr w14:val="tx1"/>
                  </w14:solidFill>
                </w14:textFill>
              </w:rPr>
            </w:pPr>
            <w:r>
              <w:rPr>
                <w:rFonts w:hint="eastAsia"/>
                <w:b/>
                <w:bCs/>
                <w:color w:val="000000" w:themeColor="text1"/>
                <w:sz w:val="15"/>
                <w:szCs w:val="15"/>
                <w14:textFill>
                  <w14:solidFill>
                    <w14:schemeClr w14:val="tx1"/>
                  </w14:solidFill>
                </w14:textFill>
              </w:rPr>
              <w:t>否</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978" w:type="dxa"/>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vAlign w:val="center"/>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sz w:val="15"/>
                <w:szCs w:val="15"/>
              </w:rPr>
              <w:t>30</w:t>
            </w:r>
          </w:p>
        </w:tc>
        <w:tc>
          <w:tcPr>
            <w:tcW w:w="2835" w:type="dxa"/>
            <w:vAlign w:val="center"/>
          </w:tcPr>
          <w:p>
            <w:pPr>
              <w:widowControl/>
              <w:spacing w:line="240" w:lineRule="auto"/>
              <w:ind w:firstLine="0" w:firstLineChars="0"/>
              <w:jc w:val="left"/>
              <w:rPr>
                <w:sz w:val="15"/>
                <w:szCs w:val="15"/>
              </w:rPr>
            </w:pPr>
            <w:r>
              <w:rPr>
                <w:rFonts w:hint="eastAsia"/>
                <w:sz w:val="15"/>
                <w:szCs w:val="15"/>
              </w:rPr>
              <w:t>城镇生活垃圾无害化处理率</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市≥9</w:t>
            </w:r>
            <w:r>
              <w:rPr>
                <w:color w:val="000000" w:themeColor="text1"/>
                <w:sz w:val="15"/>
                <w:szCs w:val="15"/>
                <w14:textFill>
                  <w14:solidFill>
                    <w14:schemeClr w14:val="tx1"/>
                  </w14:solidFill>
                </w14:textFill>
              </w:rPr>
              <w:t>5</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100</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100</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市环卫园林局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2" w:hRule="atLeast"/>
        </w:trPr>
        <w:tc>
          <w:tcPr>
            <w:tcW w:w="567" w:type="dxa"/>
            <w:vMerge w:val="continue"/>
            <w:vAlign w:val="center"/>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3</w:t>
            </w:r>
            <w:r>
              <w:rPr>
                <w:sz w:val="15"/>
                <w:szCs w:val="15"/>
              </w:rPr>
              <w:t>1</w:t>
            </w:r>
          </w:p>
        </w:tc>
        <w:tc>
          <w:tcPr>
            <w:tcW w:w="2835" w:type="dxa"/>
            <w:vAlign w:val="center"/>
          </w:tcPr>
          <w:p>
            <w:pPr>
              <w:widowControl/>
              <w:spacing w:line="240" w:lineRule="auto"/>
              <w:ind w:firstLine="0" w:firstLineChars="0"/>
              <w:jc w:val="left"/>
              <w:rPr>
                <w:sz w:val="15"/>
                <w:szCs w:val="15"/>
              </w:rPr>
            </w:pPr>
            <w:r>
              <w:rPr>
                <w:rFonts w:hint="eastAsia"/>
                <w:sz w:val="15"/>
                <w:szCs w:val="15"/>
              </w:rPr>
              <w:t>农村生活垃圾无害化处理村占比</w:t>
            </w:r>
          </w:p>
        </w:tc>
        <w:tc>
          <w:tcPr>
            <w:tcW w:w="709" w:type="dxa"/>
            <w:vAlign w:val="center"/>
          </w:tcPr>
          <w:p>
            <w:pPr>
              <w:widowControl/>
              <w:spacing w:line="240" w:lineRule="auto"/>
              <w:ind w:firstLine="0" w:firstLineChars="0"/>
              <w:jc w:val="center"/>
              <w:rPr>
                <w:b/>
                <w:bCs/>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100</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100</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市环卫园林局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vAlign w:val="center"/>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3</w:t>
            </w:r>
            <w:r>
              <w:rPr>
                <w:sz w:val="15"/>
                <w:szCs w:val="15"/>
              </w:rPr>
              <w:t>2</w:t>
            </w:r>
          </w:p>
        </w:tc>
        <w:tc>
          <w:tcPr>
            <w:tcW w:w="2835" w:type="dxa"/>
            <w:vAlign w:val="center"/>
          </w:tcPr>
          <w:p>
            <w:pPr>
              <w:widowControl/>
              <w:spacing w:line="240" w:lineRule="auto"/>
              <w:ind w:firstLine="0" w:firstLineChars="0"/>
              <w:jc w:val="left"/>
              <w:rPr>
                <w:sz w:val="15"/>
                <w:szCs w:val="15"/>
              </w:rPr>
            </w:pPr>
            <w:r>
              <w:rPr>
                <w:rFonts w:hint="eastAsia"/>
                <w:sz w:val="15"/>
                <w:szCs w:val="15"/>
              </w:rPr>
              <w:t>农村无害化卫生厕所普及率</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完成上级规定的目标任务</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2" w:hRule="atLeast"/>
        </w:trPr>
        <w:tc>
          <w:tcPr>
            <w:tcW w:w="567" w:type="dxa"/>
            <w:vMerge w:val="restart"/>
            <w:vAlign w:val="center"/>
          </w:tcPr>
          <w:p>
            <w:pPr>
              <w:widowControl/>
              <w:spacing w:line="240" w:lineRule="auto"/>
              <w:ind w:firstLine="0" w:firstLineChars="0"/>
              <w:jc w:val="left"/>
              <w:rPr>
                <w:sz w:val="15"/>
                <w:szCs w:val="15"/>
              </w:rPr>
            </w:pPr>
            <w:r>
              <w:rPr>
                <w:rFonts w:hint="eastAsia"/>
                <w:sz w:val="15"/>
                <w:szCs w:val="15"/>
              </w:rPr>
              <w:t>生态生活</w:t>
            </w:r>
          </w:p>
        </w:tc>
        <w:tc>
          <w:tcPr>
            <w:tcW w:w="709" w:type="dxa"/>
            <w:vMerge w:val="restart"/>
            <w:vAlign w:val="center"/>
          </w:tcPr>
          <w:p>
            <w:pPr>
              <w:widowControl/>
              <w:spacing w:line="240" w:lineRule="auto"/>
              <w:ind w:firstLine="0" w:firstLineChars="0"/>
              <w:jc w:val="left"/>
              <w:rPr>
                <w:sz w:val="15"/>
                <w:szCs w:val="15"/>
              </w:rPr>
            </w:pPr>
            <w:r>
              <w:rPr>
                <w:rFonts w:hint="eastAsia"/>
                <w:sz w:val="15"/>
                <w:szCs w:val="15"/>
              </w:rPr>
              <w:t>（九）生活方式绿色化</w:t>
            </w:r>
          </w:p>
        </w:tc>
        <w:tc>
          <w:tcPr>
            <w:tcW w:w="567" w:type="dxa"/>
            <w:vAlign w:val="center"/>
          </w:tcPr>
          <w:p>
            <w:pPr>
              <w:widowControl/>
              <w:spacing w:line="240" w:lineRule="auto"/>
              <w:ind w:firstLine="0" w:firstLineChars="0"/>
              <w:jc w:val="center"/>
              <w:rPr>
                <w:sz w:val="15"/>
                <w:szCs w:val="15"/>
              </w:rPr>
            </w:pPr>
            <w:r>
              <w:rPr>
                <w:rFonts w:hint="eastAsia"/>
                <w:sz w:val="15"/>
                <w:szCs w:val="15"/>
              </w:rPr>
              <w:t>3</w:t>
            </w:r>
            <w:r>
              <w:rPr>
                <w:sz w:val="15"/>
                <w:szCs w:val="15"/>
              </w:rPr>
              <w:t>3</w:t>
            </w:r>
          </w:p>
        </w:tc>
        <w:tc>
          <w:tcPr>
            <w:tcW w:w="2835" w:type="dxa"/>
            <w:vAlign w:val="center"/>
          </w:tcPr>
          <w:p>
            <w:pPr>
              <w:widowControl/>
              <w:spacing w:line="240" w:lineRule="auto"/>
              <w:ind w:firstLine="0" w:firstLineChars="0"/>
              <w:jc w:val="left"/>
              <w:rPr>
                <w:sz w:val="15"/>
                <w:szCs w:val="15"/>
              </w:rPr>
            </w:pPr>
            <w:r>
              <w:rPr>
                <w:rFonts w:hint="eastAsia"/>
                <w:sz w:val="15"/>
                <w:szCs w:val="15"/>
              </w:rPr>
              <w:t>城镇新建绿色建筑比例</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≥50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70.09</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≥70.09</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≥70.09</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2" w:hRule="atLeast"/>
        </w:trPr>
        <w:tc>
          <w:tcPr>
            <w:tcW w:w="567" w:type="dxa"/>
            <w:vMerge w:val="continue"/>
            <w:vAlign w:val="center"/>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rFonts w:hint="eastAsia"/>
                <w:sz w:val="15"/>
                <w:szCs w:val="15"/>
              </w:rPr>
              <w:t>3</w:t>
            </w:r>
            <w:r>
              <w:rPr>
                <w:sz w:val="15"/>
                <w:szCs w:val="15"/>
              </w:rPr>
              <w:t>4</w:t>
            </w:r>
          </w:p>
        </w:tc>
        <w:tc>
          <w:tcPr>
            <w:tcW w:w="2835" w:type="dxa"/>
            <w:vAlign w:val="center"/>
          </w:tcPr>
          <w:p>
            <w:pPr>
              <w:widowControl/>
              <w:spacing w:line="240" w:lineRule="auto"/>
              <w:ind w:firstLine="0" w:firstLineChars="0"/>
              <w:jc w:val="left"/>
              <w:rPr>
                <w:sz w:val="15"/>
                <w:szCs w:val="15"/>
              </w:rPr>
            </w:pPr>
            <w:r>
              <w:rPr>
                <w:rFonts w:hint="eastAsia"/>
                <w:sz w:val="15"/>
                <w:szCs w:val="15"/>
              </w:rPr>
              <w:t>城镇生活垃圾分类减量化行动</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实施</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实施</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实施</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实施</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市环卫园林局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vAlign w:val="center"/>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sz w:val="15"/>
                <w:szCs w:val="15"/>
              </w:rPr>
              <w:t>35</w:t>
            </w:r>
          </w:p>
        </w:tc>
        <w:tc>
          <w:tcPr>
            <w:tcW w:w="2835" w:type="dxa"/>
            <w:vAlign w:val="center"/>
          </w:tcPr>
          <w:p>
            <w:pPr>
              <w:widowControl/>
              <w:spacing w:line="240" w:lineRule="auto"/>
              <w:ind w:firstLine="0" w:firstLineChars="0"/>
              <w:jc w:val="left"/>
              <w:rPr>
                <w:sz w:val="15"/>
                <w:szCs w:val="15"/>
              </w:rPr>
            </w:pPr>
            <w:r>
              <w:rPr>
                <w:rFonts w:hint="eastAsia"/>
                <w:sz w:val="15"/>
                <w:szCs w:val="15"/>
              </w:rPr>
              <w:t>政府绿色采购比例</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约束性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b/>
                <w:bCs/>
                <w:color w:val="000000" w:themeColor="text1"/>
                <w:sz w:val="15"/>
                <w:szCs w:val="15"/>
                <w14:textFill>
                  <w14:solidFill>
                    <w14:schemeClr w14:val="tx1"/>
                  </w14:solidFill>
                </w14:textFill>
              </w:rPr>
            </w:pPr>
            <w:r>
              <w:rPr>
                <w:rFonts w:hint="eastAsia"/>
                <w:b/>
                <w:bCs/>
                <w:color w:val="000000" w:themeColor="text1"/>
                <w:sz w:val="15"/>
                <w:szCs w:val="15"/>
                <w14:textFill>
                  <w14:solidFill>
                    <w14:schemeClr w14:val="tx1"/>
                  </w14:solidFill>
                </w14:textFill>
              </w:rPr>
              <w:t>无数据</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≥80</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bookmarkStart w:id="31" w:name="_Hlk152147747"/>
            <w:r>
              <w:rPr>
                <w:rFonts w:hint="eastAsia"/>
                <w:color w:val="000000" w:themeColor="text1"/>
                <w:sz w:val="15"/>
                <w:szCs w:val="15"/>
                <w14:textFill>
                  <w14:solidFill>
                    <w14:schemeClr w14:val="tx1"/>
                  </w14:solidFill>
                </w14:textFill>
              </w:rPr>
              <w:t>市财政局</w:t>
            </w:r>
            <w:bookmarkEnd w:id="31"/>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restart"/>
            <w:vAlign w:val="center"/>
          </w:tcPr>
          <w:p>
            <w:pPr>
              <w:widowControl/>
              <w:spacing w:line="240" w:lineRule="auto"/>
              <w:ind w:firstLine="0" w:firstLineChars="0"/>
              <w:jc w:val="left"/>
              <w:rPr>
                <w:sz w:val="15"/>
                <w:szCs w:val="15"/>
              </w:rPr>
            </w:pPr>
            <w:r>
              <w:rPr>
                <w:rFonts w:hint="eastAsia"/>
                <w:sz w:val="15"/>
                <w:szCs w:val="15"/>
              </w:rPr>
              <w:t>生态文化</w:t>
            </w:r>
          </w:p>
        </w:tc>
        <w:tc>
          <w:tcPr>
            <w:tcW w:w="709" w:type="dxa"/>
            <w:vMerge w:val="restart"/>
            <w:vAlign w:val="center"/>
          </w:tcPr>
          <w:p>
            <w:pPr>
              <w:widowControl/>
              <w:spacing w:line="240" w:lineRule="auto"/>
              <w:ind w:firstLine="0" w:firstLineChars="0"/>
              <w:jc w:val="left"/>
              <w:rPr>
                <w:sz w:val="15"/>
                <w:szCs w:val="15"/>
              </w:rPr>
            </w:pPr>
            <w:r>
              <w:rPr>
                <w:rFonts w:hint="eastAsia"/>
                <w:sz w:val="15"/>
                <w:szCs w:val="15"/>
              </w:rPr>
              <w:t>（十）观念意识普及</w:t>
            </w:r>
          </w:p>
        </w:tc>
        <w:tc>
          <w:tcPr>
            <w:tcW w:w="567" w:type="dxa"/>
            <w:vAlign w:val="center"/>
          </w:tcPr>
          <w:p>
            <w:pPr>
              <w:widowControl/>
              <w:spacing w:line="240" w:lineRule="auto"/>
              <w:ind w:firstLine="0" w:firstLineChars="0"/>
              <w:jc w:val="center"/>
              <w:rPr>
                <w:sz w:val="15"/>
                <w:szCs w:val="15"/>
              </w:rPr>
            </w:pPr>
            <w:r>
              <w:rPr>
                <w:sz w:val="15"/>
                <w:szCs w:val="15"/>
              </w:rPr>
              <w:t>36</w:t>
            </w:r>
          </w:p>
        </w:tc>
        <w:tc>
          <w:tcPr>
            <w:tcW w:w="2835" w:type="dxa"/>
            <w:vAlign w:val="center"/>
          </w:tcPr>
          <w:p>
            <w:pPr>
              <w:widowControl/>
              <w:spacing w:line="240" w:lineRule="auto"/>
              <w:ind w:firstLine="0" w:firstLineChars="0"/>
              <w:jc w:val="left"/>
              <w:rPr>
                <w:sz w:val="15"/>
                <w:szCs w:val="15"/>
              </w:rPr>
            </w:pPr>
            <w:r>
              <w:rPr>
                <w:rFonts w:hint="eastAsia"/>
                <w:sz w:val="15"/>
                <w:szCs w:val="15"/>
              </w:rPr>
              <w:t>党政领导干部参加生态文明培训的人数比例</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100</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是</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1</w:t>
            </w:r>
            <w:r>
              <w:rPr>
                <w:color w:val="000000" w:themeColor="text1"/>
                <w:sz w:val="15"/>
                <w:szCs w:val="15"/>
                <w14:textFill>
                  <w14:solidFill>
                    <w14:schemeClr w14:val="tx1"/>
                  </w14:solidFill>
                </w14:textFill>
              </w:rPr>
              <w:t>00</w:t>
            </w:r>
          </w:p>
        </w:tc>
        <w:tc>
          <w:tcPr>
            <w:tcW w:w="97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sz w:val="15"/>
                <w:szCs w:val="15"/>
              </w:rPr>
              <w:t>37</w:t>
            </w:r>
          </w:p>
        </w:tc>
        <w:tc>
          <w:tcPr>
            <w:tcW w:w="2835" w:type="dxa"/>
            <w:vAlign w:val="center"/>
          </w:tcPr>
          <w:p>
            <w:pPr>
              <w:widowControl/>
              <w:spacing w:line="240" w:lineRule="auto"/>
              <w:ind w:firstLine="0" w:firstLineChars="0"/>
              <w:jc w:val="left"/>
              <w:rPr>
                <w:sz w:val="15"/>
                <w:szCs w:val="15"/>
              </w:rPr>
            </w:pPr>
            <w:r>
              <w:rPr>
                <w:rFonts w:hint="eastAsia"/>
                <w:sz w:val="15"/>
                <w:szCs w:val="15"/>
              </w:rPr>
              <w:t>公众对生态文明建设的满意度</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b/>
                <w:bCs/>
                <w:color w:val="000000" w:themeColor="text1"/>
                <w:sz w:val="15"/>
                <w:szCs w:val="15"/>
                <w14:textFill>
                  <w14:solidFill>
                    <w14:schemeClr w14:val="tx1"/>
                  </w14:solidFill>
                </w14:textFill>
              </w:rPr>
            </w:pPr>
            <w:r>
              <w:rPr>
                <w:rFonts w:hint="eastAsia"/>
                <w:b/>
                <w:bCs/>
                <w:color w:val="000000" w:themeColor="text1"/>
                <w:sz w:val="15"/>
                <w:szCs w:val="15"/>
                <w14:textFill>
                  <w14:solidFill>
                    <w14:schemeClr w14:val="tx1"/>
                  </w14:solidFill>
                </w14:textFill>
              </w:rPr>
              <w:t>无数据</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≥80</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5</w:t>
            </w:r>
          </w:p>
        </w:tc>
        <w:tc>
          <w:tcPr>
            <w:tcW w:w="978" w:type="dxa"/>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67" w:type="dxa"/>
            <w:vMerge w:val="continue"/>
          </w:tcPr>
          <w:p>
            <w:pPr>
              <w:widowControl/>
              <w:spacing w:line="240" w:lineRule="auto"/>
              <w:ind w:firstLine="0" w:firstLineChars="0"/>
              <w:jc w:val="left"/>
              <w:rPr>
                <w:sz w:val="15"/>
                <w:szCs w:val="15"/>
              </w:rPr>
            </w:pPr>
          </w:p>
        </w:tc>
        <w:tc>
          <w:tcPr>
            <w:tcW w:w="709" w:type="dxa"/>
            <w:vMerge w:val="continue"/>
            <w:vAlign w:val="center"/>
          </w:tcPr>
          <w:p>
            <w:pPr>
              <w:widowControl/>
              <w:spacing w:line="240" w:lineRule="auto"/>
              <w:ind w:firstLine="0" w:firstLineChars="0"/>
              <w:jc w:val="left"/>
              <w:rPr>
                <w:sz w:val="15"/>
                <w:szCs w:val="15"/>
              </w:rPr>
            </w:pPr>
          </w:p>
        </w:tc>
        <w:tc>
          <w:tcPr>
            <w:tcW w:w="567" w:type="dxa"/>
            <w:vAlign w:val="center"/>
          </w:tcPr>
          <w:p>
            <w:pPr>
              <w:widowControl/>
              <w:spacing w:line="240" w:lineRule="auto"/>
              <w:ind w:firstLine="0" w:firstLineChars="0"/>
              <w:jc w:val="center"/>
              <w:rPr>
                <w:sz w:val="15"/>
                <w:szCs w:val="15"/>
              </w:rPr>
            </w:pPr>
            <w:r>
              <w:rPr>
                <w:sz w:val="15"/>
                <w:szCs w:val="15"/>
              </w:rPr>
              <w:t>38</w:t>
            </w:r>
          </w:p>
        </w:tc>
        <w:tc>
          <w:tcPr>
            <w:tcW w:w="2835" w:type="dxa"/>
            <w:vAlign w:val="center"/>
          </w:tcPr>
          <w:p>
            <w:pPr>
              <w:widowControl/>
              <w:spacing w:line="240" w:lineRule="auto"/>
              <w:ind w:firstLine="0" w:firstLineChars="0"/>
              <w:jc w:val="left"/>
              <w:rPr>
                <w:sz w:val="15"/>
                <w:szCs w:val="15"/>
              </w:rPr>
            </w:pPr>
            <w:r>
              <w:rPr>
                <w:rFonts w:hint="eastAsia"/>
                <w:sz w:val="15"/>
                <w:szCs w:val="15"/>
              </w:rPr>
              <w:t>公众对生态文明建设的参与度</w:t>
            </w:r>
          </w:p>
        </w:tc>
        <w:tc>
          <w:tcPr>
            <w:tcW w:w="709"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13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0</w:t>
            </w:r>
          </w:p>
        </w:tc>
        <w:tc>
          <w:tcPr>
            <w:tcW w:w="85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参考性</w:t>
            </w:r>
          </w:p>
        </w:tc>
        <w:tc>
          <w:tcPr>
            <w:tcW w:w="864"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市县</w:t>
            </w:r>
          </w:p>
        </w:tc>
        <w:tc>
          <w:tcPr>
            <w:tcW w:w="1546" w:type="dxa"/>
            <w:vAlign w:val="center"/>
          </w:tcPr>
          <w:p>
            <w:pPr>
              <w:widowControl/>
              <w:spacing w:line="240" w:lineRule="auto"/>
              <w:ind w:firstLine="0" w:firstLineChars="0"/>
              <w:jc w:val="center"/>
              <w:rPr>
                <w:b/>
                <w:bCs/>
                <w:color w:val="000000" w:themeColor="text1"/>
                <w:sz w:val="15"/>
                <w:szCs w:val="15"/>
                <w14:textFill>
                  <w14:solidFill>
                    <w14:schemeClr w14:val="tx1"/>
                  </w14:solidFill>
                </w14:textFill>
              </w:rPr>
            </w:pPr>
            <w:r>
              <w:rPr>
                <w:rFonts w:hint="eastAsia"/>
                <w:b/>
                <w:bCs/>
                <w:color w:val="000000" w:themeColor="text1"/>
                <w:sz w:val="15"/>
                <w:szCs w:val="15"/>
                <w14:textFill>
                  <w14:solidFill>
                    <w14:schemeClr w14:val="tx1"/>
                  </w14:solidFill>
                </w14:textFill>
              </w:rPr>
              <w:t>无数据</w:t>
            </w:r>
          </w:p>
        </w:tc>
        <w:tc>
          <w:tcPr>
            <w:tcW w:w="1418"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≥80</w:t>
            </w:r>
          </w:p>
        </w:tc>
        <w:tc>
          <w:tcPr>
            <w:tcW w:w="680"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w:t>
            </w:r>
          </w:p>
        </w:tc>
        <w:tc>
          <w:tcPr>
            <w:tcW w:w="1096" w:type="dxa"/>
            <w:vAlign w:val="center"/>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≥8</w:t>
            </w:r>
            <w:r>
              <w:rPr>
                <w:color w:val="000000" w:themeColor="text1"/>
                <w:sz w:val="15"/>
                <w:szCs w:val="15"/>
                <w14:textFill>
                  <w14:solidFill>
                    <w14:schemeClr w14:val="tx1"/>
                  </w14:solidFill>
                </w14:textFill>
              </w:rPr>
              <w:t>5</w:t>
            </w:r>
          </w:p>
        </w:tc>
        <w:tc>
          <w:tcPr>
            <w:tcW w:w="978" w:type="dxa"/>
          </w:tcPr>
          <w:p>
            <w:pPr>
              <w:widowControl/>
              <w:spacing w:line="240" w:lineRule="auto"/>
              <w:ind w:firstLine="0" w:firstLineChars="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市统计局</w:t>
            </w:r>
          </w:p>
        </w:tc>
      </w:tr>
      <w:bookmarkEnd w:id="23"/>
    </w:tbl>
    <w:p>
      <w:pPr>
        <w:widowControl/>
        <w:adjustRightInd/>
        <w:snapToGrid/>
        <w:spacing w:line="240" w:lineRule="auto"/>
        <w:ind w:firstLine="0" w:firstLineChars="0"/>
        <w:jc w:val="left"/>
        <w:rPr>
          <w:rFonts w:ascii="仿宋" w:hAnsi="仿宋" w:eastAsia="仿宋"/>
          <w:b/>
          <w:sz w:val="30"/>
          <w:szCs w:val="30"/>
        </w:rPr>
        <w:sectPr>
          <w:pgSz w:w="16838" w:h="11906" w:orient="landscape"/>
          <w:pgMar w:top="1797" w:right="1440" w:bottom="1797" w:left="1440" w:header="851" w:footer="992" w:gutter="0"/>
          <w:cols w:space="720" w:num="1"/>
          <w:docGrid w:linePitch="312" w:charSpace="0"/>
        </w:sectPr>
      </w:pPr>
    </w:p>
    <w:p>
      <w:pPr>
        <w:ind w:firstLine="562"/>
        <w:rPr>
          <w:b/>
          <w:bCs/>
        </w:rPr>
      </w:pPr>
      <w:r>
        <w:rPr>
          <w:rFonts w:hint="eastAsia"/>
          <w:b/>
          <w:bCs/>
        </w:rPr>
        <w:t>（二）指标可达性分析</w:t>
      </w:r>
    </w:p>
    <w:p>
      <w:pPr>
        <w:ind w:firstLine="560"/>
        <w:rPr>
          <w:w w:val="98"/>
        </w:rPr>
      </w:pPr>
      <w:r>
        <w:rPr>
          <w:rFonts w:hint="eastAsia" w:cs="仿宋_GB2312"/>
          <w:kern w:val="0"/>
        </w:rPr>
        <w:t>根据《关于开展第七批生态文明建设示范区和“绿水青山就是金山银山”实践创新基地遴选工作的通知》（环办生态函〔2023〕209号）</w:t>
      </w:r>
      <w:r>
        <w:rPr>
          <w:kern w:val="0"/>
        </w:rPr>
        <w:t>考核</w:t>
      </w:r>
      <w:r>
        <w:rPr>
          <w:rFonts w:hint="eastAsia"/>
          <w:kern w:val="0"/>
        </w:rPr>
        <w:t>指标</w:t>
      </w:r>
      <w:r>
        <w:rPr>
          <w:kern w:val="0"/>
        </w:rPr>
        <w:t>要求</w:t>
      </w:r>
      <w:r>
        <w:rPr>
          <w:rFonts w:hint="eastAsia"/>
        </w:rPr>
        <w:t>，对万宁市尚未达标、需要加强建设的</w:t>
      </w:r>
      <w:r>
        <w:t>3</w:t>
      </w:r>
      <w:r>
        <w:rPr>
          <w:rFonts w:hint="eastAsia"/>
        </w:rPr>
        <w:t>项指标，分析其可达性如下：</w:t>
      </w:r>
    </w:p>
    <w:p>
      <w:pPr>
        <w:ind w:firstLine="562"/>
        <w:rPr>
          <w:b/>
          <w:bCs/>
        </w:rPr>
      </w:pPr>
      <w:r>
        <w:rPr>
          <w:rFonts w:hint="eastAsia"/>
          <w:b/>
          <w:bCs/>
        </w:rPr>
        <w:t>（</w:t>
      </w:r>
      <w:r>
        <w:rPr>
          <w:b/>
          <w:bCs/>
        </w:rPr>
        <w:t>1</w:t>
      </w:r>
      <w:r>
        <w:rPr>
          <w:rFonts w:hint="eastAsia"/>
          <w:b/>
          <w:bCs/>
        </w:rPr>
        <w:t>）农业废弃物综合利用率（参考性）</w:t>
      </w:r>
    </w:p>
    <w:p>
      <w:pPr>
        <w:ind w:firstLine="562"/>
        <w:rPr>
          <w:b/>
          <w:bCs/>
        </w:rPr>
      </w:pPr>
      <w:r>
        <w:rPr>
          <w:rFonts w:hint="eastAsia"/>
          <w:b/>
          <w:bCs/>
        </w:rPr>
        <w:t>①秸秆综合利用率</w:t>
      </w:r>
    </w:p>
    <w:p>
      <w:pPr>
        <w:ind w:firstLine="560"/>
      </w:pPr>
      <w:r>
        <w:rPr>
          <w:rFonts w:hint="eastAsia"/>
        </w:rPr>
        <w:t>1）指标体系要求</w:t>
      </w:r>
    </w:p>
    <w:p>
      <w:pPr>
        <w:ind w:firstLine="560"/>
      </w:pPr>
      <w:r>
        <w:rPr>
          <w:rFonts w:hint="eastAsia"/>
        </w:rPr>
        <w:t>指标要求≥9</w:t>
      </w:r>
      <w:r>
        <w:t>0</w:t>
      </w:r>
      <w:r>
        <w:rPr>
          <w:rFonts w:hint="eastAsia"/>
        </w:rPr>
        <w:t>%</w:t>
      </w:r>
    </w:p>
    <w:p>
      <w:pPr>
        <w:ind w:firstLine="560"/>
      </w:pPr>
      <w:r>
        <w:rPr>
          <w:rFonts w:hint="eastAsia"/>
        </w:rPr>
        <w:t>2）近期规划目标</w:t>
      </w:r>
    </w:p>
    <w:p>
      <w:pPr>
        <w:ind w:firstLine="560"/>
      </w:pPr>
      <w:r>
        <w:rPr>
          <w:rFonts w:hint="eastAsia"/>
        </w:rPr>
        <w:t>2</w:t>
      </w:r>
      <w:r>
        <w:t>025</w:t>
      </w:r>
      <w:r>
        <w:rPr>
          <w:rFonts w:hint="eastAsia"/>
        </w:rPr>
        <w:t>年达到9</w:t>
      </w:r>
      <w:r>
        <w:t>0</w:t>
      </w:r>
      <w:r>
        <w:rPr>
          <w:rFonts w:hint="eastAsia"/>
        </w:rPr>
        <w:t>%的秸秆综合利用率。</w:t>
      </w:r>
    </w:p>
    <w:p>
      <w:pPr>
        <w:ind w:firstLine="560"/>
      </w:pPr>
      <w:r>
        <w:rPr>
          <w:rFonts w:hint="eastAsia"/>
        </w:rPr>
        <w:t>3）目前的差距及采取的措施</w:t>
      </w:r>
    </w:p>
    <w:p>
      <w:pPr>
        <w:ind w:firstLine="560"/>
      </w:pPr>
      <w:r>
        <w:rPr>
          <w:rFonts w:hint="eastAsia"/>
        </w:rPr>
        <w:t>目前万宁市秸秆综合利用率为8</w:t>
      </w:r>
      <w:r>
        <w:t>8</w:t>
      </w:r>
      <w:r>
        <w:rPr>
          <w:rFonts w:hint="eastAsia"/>
        </w:rPr>
        <w:t>.</w:t>
      </w:r>
      <w:r>
        <w:t>98</w:t>
      </w:r>
      <w:r>
        <w:rPr>
          <w:rFonts w:hint="eastAsia"/>
        </w:rPr>
        <w:t>%，与生态文明建设示范区目标值相差1</w:t>
      </w:r>
      <w:r>
        <w:t>.02</w:t>
      </w:r>
      <w:r>
        <w:rPr>
          <w:rFonts w:hint="eastAsia"/>
        </w:rPr>
        <w:t>。万宁市农业农村先后印发《万宁市2022年水稻秸秆机械化还田工作实施方案》《关于做好2022年农作物秸秆综合利用工作的通知》《万宁市2023年农作物秸秆禁烧和综合利用工作方案》，持续巩固秸秆禁烧工作成效，不断培育和壮大秸秆综合利用产业发展，促进秸秆资源化利用，推动农业增产增效和生态环境改善。强化秸秆高效利用产业格局，优化“五化”利用结构，推动实施秸秆综合利用长效机制。</w:t>
      </w:r>
    </w:p>
    <w:p>
      <w:pPr>
        <w:ind w:firstLine="560"/>
      </w:pPr>
      <w:r>
        <w:rPr>
          <w:rFonts w:hint="eastAsia"/>
        </w:rPr>
        <w:t>因此，该指标在规划近期内可达标。</w:t>
      </w:r>
    </w:p>
    <w:p>
      <w:pPr>
        <w:ind w:firstLine="562"/>
        <w:rPr>
          <w:b/>
          <w:bCs/>
        </w:rPr>
      </w:pPr>
      <w:r>
        <w:rPr>
          <w:rFonts w:hint="eastAsia"/>
          <w:b/>
          <w:bCs/>
        </w:rPr>
        <w:t>（</w:t>
      </w:r>
      <w:r>
        <w:rPr>
          <w:b/>
          <w:bCs/>
        </w:rPr>
        <w:t>2</w:t>
      </w:r>
      <w:r>
        <w:rPr>
          <w:rFonts w:hint="eastAsia"/>
          <w:b/>
          <w:bCs/>
        </w:rPr>
        <w:t>）村镇饮用水卫生合格率（约束性）</w:t>
      </w:r>
    </w:p>
    <w:p>
      <w:pPr>
        <w:ind w:firstLine="560"/>
      </w:pPr>
      <w:r>
        <w:rPr>
          <w:rFonts w:hint="eastAsia"/>
        </w:rPr>
        <w:t>1）指标体系要求</w:t>
      </w:r>
    </w:p>
    <w:p>
      <w:pPr>
        <w:ind w:firstLine="560"/>
      </w:pPr>
      <w:r>
        <w:rPr>
          <w:rFonts w:hint="eastAsia"/>
        </w:rPr>
        <w:t>指标要求达到1</w:t>
      </w:r>
      <w:r>
        <w:t>00</w:t>
      </w:r>
      <w:r>
        <w:rPr>
          <w:rFonts w:hint="eastAsia"/>
        </w:rPr>
        <w:t>%。</w:t>
      </w:r>
    </w:p>
    <w:p>
      <w:pPr>
        <w:ind w:firstLine="560"/>
      </w:pPr>
      <w:r>
        <w:rPr>
          <w:rFonts w:hint="eastAsia"/>
        </w:rPr>
        <w:t>2）近期规划目标</w:t>
      </w:r>
    </w:p>
    <w:p>
      <w:pPr>
        <w:ind w:firstLine="560"/>
      </w:pPr>
      <w:r>
        <w:rPr>
          <w:rFonts w:hint="eastAsia"/>
        </w:rPr>
        <w:t>2</w:t>
      </w:r>
      <w:r>
        <w:t>025</w:t>
      </w:r>
      <w:r>
        <w:rPr>
          <w:rFonts w:hint="eastAsia"/>
        </w:rPr>
        <w:t>年达到1</w:t>
      </w:r>
      <w:r>
        <w:t>00</w:t>
      </w:r>
      <w:r>
        <w:rPr>
          <w:rFonts w:hint="eastAsia"/>
        </w:rPr>
        <w:t>%。</w:t>
      </w:r>
    </w:p>
    <w:p>
      <w:pPr>
        <w:ind w:firstLine="560"/>
      </w:pPr>
      <w:r>
        <w:rPr>
          <w:rFonts w:hint="eastAsia"/>
        </w:rPr>
        <w:t>3）目前的差距及采取的措施</w:t>
      </w:r>
    </w:p>
    <w:p>
      <w:pPr>
        <w:ind w:firstLine="560"/>
      </w:pPr>
      <w:r>
        <w:rPr>
          <w:rFonts w:hint="eastAsia"/>
        </w:rPr>
        <w:t>万宁市2</w:t>
      </w:r>
      <w:r>
        <w:t>022</w:t>
      </w:r>
      <w:r>
        <w:rPr>
          <w:rFonts w:hint="eastAsia"/>
        </w:rPr>
        <w:t>年村镇饮用水卫生合格率为8</w:t>
      </w:r>
      <w:r>
        <w:t>8.2%</w:t>
      </w:r>
      <w:r>
        <w:rPr>
          <w:rFonts w:hint="eastAsia"/>
        </w:rPr>
        <w:t>，与目标值相差1</w:t>
      </w:r>
      <w:r>
        <w:t>1.8%</w:t>
      </w:r>
      <w:r>
        <w:rPr>
          <w:rFonts w:hint="eastAsia"/>
        </w:rPr>
        <w:t>，不合格检测项目为微生物、氟化物。微生物超标原因是水质未能得到有效的消毒处理。氟化物超标属于毒理指标，该项指标超标的原因可能与地质区域含有氟化物矿物，人体长期摄入会造成慢性中毒。下一步将加强饮用水卫生监督管理；尽可能做到专人专管，饮水工程应按照《生活饮用水卫生管理标准》实施定期清洗消毒，工程周边卫生应及时清理，建议氟化物超标的饮水工程停止使用，重新划定饮用水水源保护地。供水单位要进一步加强水源卫生防护、管理制度、职责落实等后续管理，进而达到考核指标要求。</w:t>
      </w:r>
    </w:p>
    <w:p>
      <w:pPr>
        <w:ind w:firstLine="560"/>
      </w:pPr>
      <w:r>
        <w:rPr>
          <w:rFonts w:hint="eastAsia"/>
        </w:rPr>
        <w:t>因此，该指标在规划近期内可达标。</w:t>
      </w:r>
    </w:p>
    <w:p>
      <w:pPr>
        <w:ind w:firstLine="562"/>
        <w:rPr>
          <w:b/>
          <w:bCs/>
        </w:rPr>
      </w:pPr>
      <w:r>
        <w:rPr>
          <w:rFonts w:hint="eastAsia"/>
          <w:b/>
          <w:bCs/>
        </w:rPr>
        <w:t>（</w:t>
      </w:r>
      <w:r>
        <w:rPr>
          <w:b/>
          <w:bCs/>
        </w:rPr>
        <w:t>3</w:t>
      </w:r>
      <w:r>
        <w:rPr>
          <w:rFonts w:hint="eastAsia"/>
          <w:b/>
          <w:bCs/>
        </w:rPr>
        <w:t>）农村生活污水行政村治理率（参考性）</w:t>
      </w:r>
    </w:p>
    <w:p>
      <w:pPr>
        <w:ind w:firstLine="560"/>
      </w:pPr>
      <w:r>
        <w:rPr>
          <w:rFonts w:hint="eastAsia"/>
        </w:rPr>
        <w:t>1）指标体系要求</w:t>
      </w:r>
    </w:p>
    <w:p>
      <w:pPr>
        <w:ind w:firstLine="560"/>
      </w:pPr>
      <w:r>
        <w:rPr>
          <w:rFonts w:hint="eastAsia"/>
        </w:rPr>
        <w:t>指标要求≥5</w:t>
      </w:r>
      <w:r>
        <w:t>0</w:t>
      </w:r>
      <w:r>
        <w:rPr>
          <w:rFonts w:hint="eastAsia"/>
        </w:rPr>
        <w:t>%。</w:t>
      </w:r>
    </w:p>
    <w:p>
      <w:pPr>
        <w:ind w:firstLine="560"/>
      </w:pPr>
      <w:r>
        <w:rPr>
          <w:rFonts w:hint="eastAsia"/>
        </w:rPr>
        <w:t>2）近期规划目标</w:t>
      </w:r>
    </w:p>
    <w:p>
      <w:pPr>
        <w:ind w:firstLine="560"/>
      </w:pPr>
      <w:r>
        <w:t>2025</w:t>
      </w:r>
      <w:r>
        <w:rPr>
          <w:rFonts w:hint="eastAsia"/>
        </w:rPr>
        <w:t>年万宁市农村生活污水行政村治理率达到</w:t>
      </w:r>
      <w:r>
        <w:t>66.8%</w:t>
      </w:r>
      <w:r>
        <w:rPr>
          <w:rFonts w:hint="eastAsia"/>
        </w:rPr>
        <w:t>。</w:t>
      </w:r>
    </w:p>
    <w:p>
      <w:pPr>
        <w:ind w:firstLine="560"/>
      </w:pPr>
      <w:r>
        <w:rPr>
          <w:rFonts w:hint="eastAsia"/>
        </w:rPr>
        <w:t>3）目前的差距及采取的措施</w:t>
      </w:r>
    </w:p>
    <w:p>
      <w:pPr>
        <w:ind w:firstLine="560"/>
      </w:pPr>
      <w:r>
        <w:rPr>
          <w:rFonts w:hint="eastAsia"/>
        </w:rPr>
        <w:t>截止2</w:t>
      </w:r>
      <w:r>
        <w:t>022</w:t>
      </w:r>
      <w:r>
        <w:rPr>
          <w:rFonts w:hint="eastAsia"/>
        </w:rPr>
        <w:t>年，万宁市已完成农村生活污水治理工作的行政村共9</w:t>
      </w:r>
      <w:r>
        <w:t>6</w:t>
      </w:r>
      <w:r>
        <w:rPr>
          <w:rFonts w:hint="eastAsia"/>
        </w:rPr>
        <w:t>个，行政村覆盖率4</w:t>
      </w:r>
      <w:r>
        <w:t>7.5%</w:t>
      </w:r>
      <w:r>
        <w:rPr>
          <w:rFonts w:hint="eastAsia"/>
        </w:rPr>
        <w:t>。万宁市已实施《农村生活污水建设专项规划》，规划涵盖全市20</w:t>
      </w:r>
      <w:r>
        <w:t>2</w:t>
      </w:r>
      <w:r>
        <w:rPr>
          <w:rFonts w:hint="eastAsia"/>
        </w:rPr>
        <w:t>个行政村、1461个自然村（含社区和管区）。从2021年起，万宁市以行政村为单元，以小海、老爷海以及万宁水库饮用水源地等生态敏感区域周边的村庄为重点，分期分批推进农村生活污水治理。</w:t>
      </w:r>
    </w:p>
    <w:p>
      <w:pPr>
        <w:ind w:firstLine="560"/>
      </w:pPr>
      <w:r>
        <w:rPr>
          <w:rFonts w:hint="eastAsia"/>
        </w:rPr>
        <w:t>计划到2025年完成农村生活污水治理工作行政村1</w:t>
      </w:r>
      <w:r>
        <w:t>35</w:t>
      </w:r>
      <w:r>
        <w:rPr>
          <w:rFonts w:hint="eastAsia"/>
        </w:rPr>
        <w:t>个，行政村覆盖率6</w:t>
      </w:r>
      <w:r>
        <w:t>6.8%</w:t>
      </w:r>
      <w:r>
        <w:rPr>
          <w:rFonts w:hint="eastAsia"/>
        </w:rPr>
        <w:t>，因此该指标在规划近期内可达标</w:t>
      </w:r>
      <w:r>
        <w:rPr>
          <w:rFonts w:hint="eastAsia"/>
          <w:lang w:eastAsia="zh-CN"/>
        </w:rPr>
        <w:t>。</w:t>
      </w:r>
      <w:r>
        <w:br w:type="page"/>
      </w:r>
    </w:p>
    <w:p>
      <w:pPr>
        <w:pStyle w:val="2"/>
      </w:pPr>
      <w:bookmarkStart w:id="32" w:name="_Toc152148706"/>
      <w:r>
        <w:rPr>
          <w:rFonts w:hint="eastAsia"/>
        </w:rPr>
        <w:t>3</w:t>
      </w:r>
      <w:r>
        <w:t xml:space="preserve">. </w:t>
      </w:r>
      <w:r>
        <w:rPr>
          <w:rFonts w:hint="eastAsia"/>
        </w:rPr>
        <w:t>规划任务与措施</w:t>
      </w:r>
      <w:bookmarkEnd w:id="32"/>
    </w:p>
    <w:p>
      <w:pPr>
        <w:pStyle w:val="3"/>
      </w:pPr>
      <w:bookmarkStart w:id="33" w:name="_Toc152148707"/>
      <w:r>
        <w:rPr>
          <w:rFonts w:hint="eastAsia"/>
        </w:rPr>
        <w:t>3</w:t>
      </w:r>
      <w:r>
        <w:t xml:space="preserve">.1 </w:t>
      </w:r>
      <w:r>
        <w:rPr>
          <w:rFonts w:hint="eastAsia"/>
        </w:rPr>
        <w:t>完善生态文明制度，健全现代治理体系</w:t>
      </w:r>
      <w:bookmarkEnd w:id="33"/>
    </w:p>
    <w:p>
      <w:pPr>
        <w:pStyle w:val="4"/>
      </w:pPr>
      <w:bookmarkStart w:id="34" w:name="_Toc152148708"/>
      <w:r>
        <w:rPr>
          <w:rFonts w:hint="eastAsia"/>
        </w:rPr>
        <w:t>3</w:t>
      </w:r>
      <w:r>
        <w:t>.1.1 坚持</w:t>
      </w:r>
      <w:r>
        <w:rPr>
          <w:rFonts w:hint="eastAsia"/>
        </w:rPr>
        <w:t>改革创新，重塑现代化治理体系</w:t>
      </w:r>
      <w:bookmarkEnd w:id="34"/>
    </w:p>
    <w:p>
      <w:pPr>
        <w:ind w:firstLine="562"/>
        <w:rPr>
          <w:rFonts w:asciiTheme="minorHAnsi" w:hAnsiTheme="minorHAnsi"/>
          <w:bCs/>
          <w:shd w:val="clear" w:color="auto" w:fill="FFFFFF"/>
        </w:rPr>
      </w:pPr>
      <w:r>
        <w:rPr>
          <w:rFonts w:hint="eastAsia" w:asciiTheme="minorHAnsi" w:hAnsiTheme="minorHAnsi"/>
          <w:b/>
          <w:shd w:val="clear" w:color="auto" w:fill="FFFFFF"/>
        </w:rPr>
        <w:t>建立健全生态文明政策法规体系。</w:t>
      </w:r>
      <w:r>
        <w:rPr>
          <w:rFonts w:hint="eastAsia" w:asciiTheme="minorHAnsi" w:hAnsiTheme="minorHAnsi"/>
          <w:bCs/>
          <w:shd w:val="clear" w:color="auto" w:fill="FFFFFF"/>
        </w:rPr>
        <w:t>推进法规、标准、体制“三位一体”的新时代生态文明制度体系建设。开展《海南省大气污染防治条例》《海南省排污许可管理条例》《海南省环境保护条例》等现有地方性法规的研究工作，积极探索水环境、固废、土壤、生态环境损害赔偿等领域立法。健全法律法规执行监督体系，创新生态环境行政执法与刑事司法工作机制，加强生态环境保护监督与人大法律监督、政协民主监督和环境资源审计监督等工作衔接配合，加强法律法规的宣贯执行，不断改革完善生态文明监督、考核体系，确保生态文明建设取得实效。</w:t>
      </w:r>
    </w:p>
    <w:p>
      <w:pPr>
        <w:ind w:firstLine="562"/>
        <w:rPr>
          <w:shd w:val="clear" w:color="auto" w:fill="FFFFFF"/>
        </w:rPr>
      </w:pPr>
      <w:r>
        <w:rPr>
          <w:rFonts w:hint="eastAsia"/>
          <w:b/>
          <w:shd w:val="clear" w:color="auto" w:fill="FFFFFF"/>
        </w:rPr>
        <w:t>健全领导离任（任中）审计及责任追究体系。</w:t>
      </w:r>
      <w:r>
        <w:rPr>
          <w:rFonts w:hint="eastAsia"/>
          <w:shd w:val="clear" w:color="auto" w:fill="FFFFFF"/>
        </w:rPr>
        <w:t>全面开展领导干部自然资源资产离任（任中）审计，严格领导干部生态环境损害责任追究，实行失职追责和损害担责。加强领导干部自然资源资产离任（任中）审计质量管理，推动离任审计结果运用。探索建立领导干部履行自然资源资产管理和生态环境保护责任重点风险防范清单。建立生态环境质量综合排名制度，完善全覆盖的生态环境状况报告制度。进一步明确细化各级各部门（单位）生态环境保护工作责任，实施领导干部生态环境损害终身追责和容错免责制度。建立健全环境治理政务失信记录机制，将各级政府和公职人员在生态环境保护工作中因违法违规、失信违约被司法判决、行政处罚、纪律处分、问责处理纳入失信范围并依法公开。形成以党内监督为主线，引领政府监督自上而下规范、发动社会监督自下而上推进的“大监督格局”。</w:t>
      </w:r>
    </w:p>
    <w:p>
      <w:pPr>
        <w:ind w:firstLine="562"/>
        <w:rPr>
          <w:shd w:val="clear" w:color="auto" w:fill="FFFFFF"/>
        </w:rPr>
      </w:pPr>
      <w:r>
        <w:rPr>
          <w:rFonts w:hint="eastAsia"/>
          <w:b/>
          <w:shd w:val="clear" w:color="auto" w:fill="FFFFFF"/>
        </w:rPr>
        <w:t>建立“重大生态环保督察问题清单”应用贯通</w:t>
      </w:r>
      <w:r>
        <w:rPr>
          <w:rFonts w:hint="eastAsia"/>
          <w:shd w:val="clear" w:color="auto" w:fill="FFFFFF"/>
        </w:rPr>
        <w:t>。建立“重大生态环保督察问题清单”应用工作体系。聚焦迭代问题发现机制，全面压实各级党委（党组）“一把手”责任，围绕问题发现、分析、整改、评估、预防全周期，推动生态环境领域问题发现整改工作系统性重塑。全面推进中央和省委生态环境保护督察、习近平总书记重要批示专项整改方案反映问题</w:t>
      </w:r>
      <w:r>
        <w:rPr>
          <w:rFonts w:hint="eastAsia"/>
        </w:rPr>
        <w:t>整改，举一反三、抓本治源。推动市级有关部门形成多跨协同工作机制，全面构建“态势感知—问题发现—在线交办—督察整改—线上反馈”全过程闭环管理体系。创新拓展问题发现技术手段，围绕重发复发、风险预警等问题开展重点研判分析，系统提升问题发现能力，有效解决群众关心关注的突出生态环境问题。</w:t>
      </w:r>
    </w:p>
    <w:p>
      <w:pPr>
        <w:pStyle w:val="4"/>
      </w:pPr>
      <w:bookmarkStart w:id="35" w:name="_Toc152148709"/>
      <w:r>
        <w:rPr>
          <w:rFonts w:hint="eastAsia"/>
        </w:rPr>
        <w:t>3</w:t>
      </w:r>
      <w:r>
        <w:t>.1.2 坚持绿色导向，</w:t>
      </w:r>
      <w:r>
        <w:rPr>
          <w:rFonts w:hint="eastAsia"/>
        </w:rPr>
        <w:t>探索推进生态产品价值实现</w:t>
      </w:r>
      <w:bookmarkEnd w:id="35"/>
    </w:p>
    <w:p>
      <w:pPr>
        <w:ind w:firstLine="562"/>
      </w:pPr>
      <w:r>
        <w:rPr>
          <w:rFonts w:hint="eastAsia"/>
          <w:b/>
          <w:bCs/>
        </w:rPr>
        <w:t>科学构建生态产品价值体系。</w:t>
      </w:r>
      <w:r>
        <w:rPr>
          <w:rFonts w:hint="eastAsia"/>
        </w:rPr>
        <w:t>探索开展项目尺度的GEP核算应用，在小海、老爷海等重点区域因地制宜构建和实施生态产品价值实现机制。在小海和老爷海试行GEP核算基础上，建立健全反映区域生态产品保护和开发成本的价值核算方法，探索将生态产品价值核算基础数据纳入当地国民经济核算体系。不断丰富应用场景，确保生态产品保值增值。严格遵守省级GDP与GEP协同增长的评价考核体系，因地制宜将考核结果应用于领导干部自然资源资产离任审计和责任追究等领域。加快构建产权清晰、多元参与、激励约束并重、系统完整的生态产品价值体系。</w:t>
      </w:r>
    </w:p>
    <w:p>
      <w:pPr>
        <w:ind w:firstLine="562"/>
      </w:pPr>
      <w:r>
        <w:rPr>
          <w:rFonts w:hint="eastAsia"/>
          <w:b/>
          <w:bCs/>
        </w:rPr>
        <w:t>建立多元化生态保护补偿机制。</w:t>
      </w:r>
      <w:r>
        <w:rPr>
          <w:rFonts w:hint="eastAsia"/>
        </w:rPr>
        <w:t>全面建立生态保护成效与财政转移支付资金分配相挂钩的生态保护补偿机制。探索流域横向生态补偿，以改善流域水环境质量和促进上游欠发达地区绿色发展为导向，强化横向激励性补偿，增加安排三更罗、北大等乡镇少数民族地区转移支付，全面建立统一规范的全流域生态保护补偿机制。健全耕地保护补偿，探索建立以绿色生态为导向的农业生态治理补贴制度，促进绿色农业发展。探索采取工程性补偿或缴纳生态补偿金的方式实施海洋生态补偿，研究制定海洋生态补偿管理办法，探索建立海洋保护区生态保护补偿制度。完善生态公益林补偿机制，实行省级公益林与国家级公益林补偿标准联动。持续优化与污染排放、单位生产总值能耗、出境水水质、森林质量、生态公益林、湿地、生态产品质量和价值相挂钩的绿色发展财政奖补机制。探索自然生态资源外部性补偿分类梯度计价机制，持续拓展生态资源溢价增值收益。</w:t>
      </w:r>
    </w:p>
    <w:p>
      <w:pPr>
        <w:ind w:firstLine="562"/>
      </w:pPr>
      <w:r>
        <w:rPr>
          <w:rFonts w:hint="eastAsia"/>
          <w:b/>
          <w:bCs/>
        </w:rPr>
        <w:t>优化生态资源经营开发模式。</w:t>
      </w:r>
      <w:r>
        <w:rPr>
          <w:rFonts w:hint="eastAsia"/>
        </w:rPr>
        <w:t>以兴隆热带植物园为“绿水青山就是金山银山”创建试点，聚焦破解生态资源变资产、变资本过程中的难点和堵点，着力搭建基于生态占补平衡、满足供需双方快捷有效对接的生态资源资产经营管理平台。培育生态产品转化平台和市场交易体系，盘活闲置存量资源，推动资源权益集中流转经营，保障和提升生态产品可持续供给能力。</w:t>
      </w:r>
    </w:p>
    <w:p>
      <w:pPr>
        <w:ind w:firstLine="562"/>
      </w:pPr>
      <w:r>
        <w:rPr>
          <w:rFonts w:hint="eastAsia"/>
          <w:b/>
          <w:bCs/>
        </w:rPr>
        <w:t>健全生态产品利益导向机制</w:t>
      </w:r>
      <w:r>
        <w:rPr>
          <w:rFonts w:hint="eastAsia"/>
        </w:rPr>
        <w:t>。打造“环小海一村一品”乡村振兴示范区，建设和乐、后安特色产业小镇，积极推动小海片区生态环境导向的开发模式（EOD模式），探索建立EOD模式项目库。创新资本投入机制，鼓励社会资本进入生态建设领域。鼓励银行机构加大对生态产品经营开发主体中长期贷款支持力度，支持生态环保重大项目融资。健全工商资本入乡促进机制，推进乡村生态环境整治及休闲旅游开发。支持符合条件的企业、农民合作社、家庭农场、民营林场等经营主体参与投资生态建设项目。推广“生态绿币”等生态信用经验，探索搭建生态信用积分应用场景，将积分结果充分应用到绿色金融服务、生态产品优惠服务等领域。探索建立公益性生态保护基金。</w:t>
      </w:r>
    </w:p>
    <w:p>
      <w:pPr>
        <w:pStyle w:val="4"/>
      </w:pPr>
      <w:bookmarkStart w:id="36" w:name="_Toc152148710"/>
      <w:r>
        <w:rPr>
          <w:rFonts w:hint="eastAsia"/>
        </w:rPr>
        <w:t>3</w:t>
      </w:r>
      <w:r>
        <w:t xml:space="preserve">.1.3 </w:t>
      </w:r>
      <w:r>
        <w:rPr>
          <w:rFonts w:hint="eastAsia"/>
        </w:rPr>
        <w:t>坚持多元共治，深化协同治理助力绿色共富</w:t>
      </w:r>
      <w:bookmarkEnd w:id="36"/>
    </w:p>
    <w:p>
      <w:pPr>
        <w:spacing w:line="540" w:lineRule="exact"/>
        <w:ind w:firstLine="562"/>
        <w:rPr>
          <w:rStyle w:val="31"/>
          <w:b w:val="0"/>
          <w:bCs w:val="0"/>
        </w:rPr>
      </w:pPr>
      <w:r>
        <w:rPr>
          <w:rStyle w:val="31"/>
          <w:rFonts w:hint="eastAsia"/>
        </w:rPr>
        <w:t>实行最严格的生态环境保护制度。</w:t>
      </w:r>
      <w:r>
        <w:rPr>
          <w:rStyle w:val="31"/>
          <w:rFonts w:hint="eastAsia"/>
          <w:b w:val="0"/>
          <w:bCs w:val="0"/>
        </w:rPr>
        <w:t>以市域社会治理现代化试点创建为抓手，加快生态环境治理现代化进程，建立健全“源头严防、过程严管、后果严惩”的生态环境保护制度体系，有效形成“政府有为、企业有责、市场有效、社会有序”的大生态保护格局。加强生态环境行政执法与公安、检察院、法院的司法联动，积极推进行政执法与刑事司法衔接、行政复议与诉讼源头治理，健全公众参与机制。建立生态环境损害赔偿与生态环境公益诉讼的衔接机制，研究出台环境违法案件与损害赔偿“一案双查”办法，完善环境损害救济维护制度。进一步健全企业环境信用等级评价制度，搭建企业环境守法和诚信信息共享机制，强化排污许可证的信用约束。</w:t>
      </w:r>
    </w:p>
    <w:p>
      <w:pPr>
        <w:spacing w:line="540" w:lineRule="exact"/>
        <w:ind w:firstLine="562"/>
        <w:rPr>
          <w:rStyle w:val="31"/>
          <w:b w:val="0"/>
          <w:bCs w:val="0"/>
        </w:rPr>
      </w:pPr>
      <w:r>
        <w:rPr>
          <w:rStyle w:val="31"/>
          <w:rFonts w:hint="eastAsia"/>
        </w:rPr>
        <w:t>建立资源要素市场化交易机制。</w:t>
      </w:r>
      <w:r>
        <w:rPr>
          <w:rStyle w:val="31"/>
          <w:rFonts w:hint="eastAsia"/>
          <w:b w:val="0"/>
          <w:bCs w:val="0"/>
        </w:rPr>
        <w:t>充分发挥市场在配置资源中的决定性作用，激发市场主体活力与内生动力。因地制宜出台特征污染物排放权交易制度，完善排污权交易价格市场形成机制，培育第三方核查机构，推进排污权交易二级市场建设。以小海红树林生态项目为基础，积极参与全国碳排放权市场交易，落实碳汇交易等生态补偿机制，增强碳交易的金融属性。完善矿产资源有偿使用制度，落实矿产资源国家权益金制度。引入市场机制促进农村土地综合整治节余指标在全市范围内合理流动。不断完善激励与约束相结合的电价、水价、天然气价格等资源价格机制，建立健全污水、生活垃圾等排放和处理的差别化收费机制。</w:t>
      </w:r>
    </w:p>
    <w:p>
      <w:pPr>
        <w:spacing w:line="540" w:lineRule="exact"/>
        <w:ind w:firstLine="562"/>
        <w:rPr>
          <w:rStyle w:val="31"/>
          <w:b w:val="0"/>
          <w:bCs w:val="0"/>
        </w:rPr>
      </w:pPr>
      <w:r>
        <w:rPr>
          <w:rStyle w:val="31"/>
          <w:rFonts w:hint="eastAsia"/>
        </w:rPr>
        <w:t>完善多元联动环保共治体系。</w:t>
      </w:r>
      <w:r>
        <w:rPr>
          <w:rStyle w:val="31"/>
          <w:rFonts w:hint="eastAsia"/>
          <w:b w:val="0"/>
          <w:bCs w:val="0"/>
        </w:rPr>
        <w:t>充分发挥政府在战略引领、政策支持、公共服务等方面的作用，加强统筹协调和监督落实。深化环境综合治理托管服务改革，推进县域、小城镇“环境医院”“环保管家”“环保超市”等第三方环境综合治理托管服务模式改革。充分发挥人大代表、政协委员、群众团体、社会组织在生态文明建设工作中的监督作用，健全多元共治、互为支撑的协同建设格局。加强区、县（市）关于生态文明示范创建、区域大气污染防治、水质区域共同考核断面协同治理等生态环境保护交流合作、联防联控，加强对生态环境问题突出区域的重点帮扶指导，推进生态环境要素、区域、城乡平衡，助力实现生态环境质量全市域“共富”。</w:t>
      </w:r>
    </w:p>
    <w:p>
      <w:pPr>
        <w:spacing w:line="540" w:lineRule="exact"/>
        <w:ind w:firstLine="560"/>
        <w:rPr>
          <w:rStyle w:val="31"/>
          <w:b w:val="0"/>
          <w:bCs w:val="0"/>
        </w:rPr>
      </w:pPr>
    </w:p>
    <w:p>
      <w:pPr>
        <w:spacing w:line="540" w:lineRule="exact"/>
        <w:ind w:firstLine="560"/>
        <w:rPr>
          <w:rStyle w:val="31"/>
          <w:b w:val="0"/>
          <w:bCs w:val="0"/>
        </w:rPr>
      </w:pPr>
    </w:p>
    <w:p>
      <w:pPr>
        <w:spacing w:line="540" w:lineRule="exact"/>
        <w:ind w:firstLine="562"/>
        <w:rPr>
          <w:rStyle w:val="31"/>
        </w:rPr>
      </w:pPr>
    </w:p>
    <w:p>
      <w:pPr>
        <w:spacing w:line="540" w:lineRule="exact"/>
        <w:ind w:firstLine="562"/>
        <w:rPr>
          <w:rStyle w:val="31"/>
        </w:rPr>
      </w:pPr>
    </w:p>
    <w:p>
      <w:pPr>
        <w:spacing w:line="540" w:lineRule="exact"/>
        <w:ind w:firstLine="562"/>
        <w:rPr>
          <w:rStyle w:val="31"/>
        </w:rPr>
      </w:pPr>
    </w:p>
    <w:p>
      <w:pPr>
        <w:ind w:firstLine="560"/>
        <w:rPr>
          <w:shd w:val="clear" w:color="auto" w:fill="FFFFFF"/>
        </w:rPr>
        <w:sectPr>
          <w:pgSz w:w="11906" w:h="16838"/>
          <w:pgMar w:top="1440" w:right="1800" w:bottom="1440" w:left="1800" w:header="851" w:footer="992" w:gutter="0"/>
          <w:cols w:space="425" w:num="1"/>
          <w:docGrid w:type="lines" w:linePitch="408" w:charSpace="0"/>
        </w:sectPr>
      </w:pPr>
      <w:r>
        <w:rPr>
          <w:rFonts w:hint="eastAsia"/>
          <w:shd w:val="clear" w:color="auto" w:fill="FFFFFF"/>
        </w:rPr>
        <w:t xml:space="preserve"> </w:t>
      </w:r>
      <w:r>
        <w:rPr>
          <w:shd w:val="clear" w:color="auto" w:fill="FFFFFF"/>
        </w:rPr>
        <w:t xml:space="preserve"> </w:t>
      </w:r>
    </w:p>
    <w:p>
      <w:pPr>
        <w:pStyle w:val="3"/>
      </w:pPr>
      <w:bookmarkStart w:id="37" w:name="_Toc152148711"/>
      <w:r>
        <w:rPr>
          <w:rFonts w:hint="eastAsia"/>
        </w:rPr>
        <w:t>3</w:t>
      </w:r>
      <w:r>
        <w:t xml:space="preserve">.2 </w:t>
      </w:r>
      <w:r>
        <w:rPr>
          <w:rFonts w:hint="eastAsia"/>
        </w:rPr>
        <w:t>保障生态安全，守护美丽万宁</w:t>
      </w:r>
      <w:bookmarkEnd w:id="37"/>
    </w:p>
    <w:p>
      <w:pPr>
        <w:pStyle w:val="4"/>
      </w:pPr>
      <w:bookmarkStart w:id="38" w:name="_Toc152148712"/>
      <w:r>
        <w:rPr>
          <w:rFonts w:hint="eastAsia"/>
        </w:rPr>
        <w:t>3</w:t>
      </w:r>
      <w:r>
        <w:t xml:space="preserve">.2.1 </w:t>
      </w:r>
      <w:r>
        <w:rPr>
          <w:rFonts w:hint="eastAsia"/>
        </w:rPr>
        <w:t>坚持减污降碳，积极应对气候变化</w:t>
      </w:r>
      <w:bookmarkEnd w:id="38"/>
    </w:p>
    <w:p>
      <w:pPr>
        <w:pStyle w:val="5"/>
      </w:pPr>
      <w:r>
        <w:rPr>
          <w:rFonts w:hint="eastAsia"/>
        </w:rPr>
        <w:t>3.</w:t>
      </w:r>
      <w:r>
        <w:t xml:space="preserve">2.1.1 </w:t>
      </w:r>
      <w:r>
        <w:rPr>
          <w:rFonts w:hint="eastAsia"/>
        </w:rPr>
        <w:t>加快推动碳减排</w:t>
      </w:r>
    </w:p>
    <w:p>
      <w:pPr>
        <w:ind w:firstLine="562"/>
      </w:pPr>
      <w:r>
        <w:rPr>
          <w:rFonts w:hint="eastAsia"/>
          <w:b/>
          <w:bCs/>
        </w:rPr>
        <w:t>严格落实碳达峰行动方案，清晰碳达峰路径。</w:t>
      </w:r>
      <w:r>
        <w:rPr>
          <w:rFonts w:hint="eastAsia"/>
        </w:rPr>
        <w:t>聚焦“确保2030年前实现碳达峰”目标，积极落实《万宁市碳达峰实施方案》，处理好发展和减排、整体和局部、长远目标和短期目标、政府和市场的关系，把碳达峰碳中和纳入经济社会发展各领域、各层次、全过程，围绕高质量打造海南东部重要支点城市，以经济社会发展全面绿色转型为引领，以产业结构优化调整和能源绿色低碳发展为关键，以科技和制度创新为动力，扎实有序推进万宁市碳达峰行动，推动经济社会发展建立在资源高效利用和绿色低碳发展的基础之上，高标准打造海南自贸港碳达峰“万宁样板”，为海南国家生态文明试验区建设提供坚实支撑。</w:t>
      </w:r>
    </w:p>
    <w:p>
      <w:pPr>
        <w:pStyle w:val="5"/>
      </w:pPr>
      <w:r>
        <w:rPr>
          <w:rFonts w:hint="eastAsia"/>
        </w:rPr>
        <w:t>3</w:t>
      </w:r>
      <w:r>
        <w:t xml:space="preserve">.2.1.2 </w:t>
      </w:r>
      <w:r>
        <w:rPr>
          <w:rFonts w:hint="eastAsia"/>
        </w:rPr>
        <w:t>积极应对气候变化</w:t>
      </w:r>
    </w:p>
    <w:p>
      <w:pPr>
        <w:ind w:firstLine="562"/>
      </w:pPr>
      <w:r>
        <w:rPr>
          <w:rFonts w:hint="eastAsia"/>
          <w:b/>
          <w:bCs/>
        </w:rPr>
        <w:t>提高城市适应气候变化能力。</w:t>
      </w:r>
      <w:r>
        <w:rPr>
          <w:rFonts w:hint="eastAsia"/>
        </w:rPr>
        <w:t>围绕《城市适应气候变化行动方案》等文件要求，从政策法规、体制机制、规划统筹、标准规范、建设管理等方面全面推进城市适应气候变化行动，努力创建气候适应型城市，提升城市适应气候变化能力。充分考虑气候承载力，合理布局城市建筑、公共设施、绿地、水体等功能区。以老城区和兴隆区域为重点，统筹路网、电网、油气管网、充电等基础设施与城市综合管廊的规划建设，提高城市适应内涝、干旱缺水、高温热浪、台风、风暴潮等气候问题的能力。综合评估城市气候脆弱性和适应性，完善道路照明、标识、警示等指示系统，增强公交站台、停车场等对持续高温、强降水和台风等灾害防护能力。加快推进海绵城市建设。开展“生态修复、城市修补”工程，妥善解决老城区防洪和排水防涝安全、雨水收集利用、供水安全、污水处理、河湖治理等问题。</w:t>
      </w:r>
    </w:p>
    <w:p>
      <w:pPr>
        <w:ind w:firstLine="562"/>
      </w:pPr>
      <w:r>
        <w:rPr>
          <w:rFonts w:hint="eastAsia"/>
          <w:b/>
          <w:bCs/>
        </w:rPr>
        <w:t>挖掘农业固碳增汇潜力。</w:t>
      </w:r>
      <w:r>
        <w:rPr>
          <w:rFonts w:hint="eastAsia"/>
        </w:rPr>
        <w:t>发挥农田土壤固碳增汇潜力，采取有效的农田管理措施，加快构建用地养地结合的培肥固碳模式，提升土壤有机质含量，增强农田固碳能力。加强高标准农田建设，加快补齐农业基础设施短板，提高水土资源利用效率。通过推广应用测土配方施肥技术、调整化肥使用结构、改进施肥方式、有机养分替代部分化肥等措施，减少不合理化肥投入，提高化肥利用效率，减少农田碳源排放。推进畜禽粪污资源化利用，推进标准化规模养殖，推广节水节料、高床漏缝、自动清粪、生物发酵等新装备、新工艺、新技术，提高畜禽粪污处理水平。持续推进秸秆肥料化、饲料化和基料化利用，发挥好秸秆耕地保育和种养结合功能。</w:t>
      </w:r>
    </w:p>
    <w:p>
      <w:pPr>
        <w:pStyle w:val="5"/>
      </w:pPr>
      <w:r>
        <w:rPr>
          <w:rFonts w:hint="eastAsia"/>
        </w:rPr>
        <w:t>3</w:t>
      </w:r>
      <w:r>
        <w:t xml:space="preserve">.2.1.3 </w:t>
      </w:r>
      <w:r>
        <w:rPr>
          <w:rFonts w:hint="eastAsia"/>
        </w:rPr>
        <w:t>提升气候治理能力</w:t>
      </w:r>
    </w:p>
    <w:p>
      <w:pPr>
        <w:ind w:firstLine="562"/>
      </w:pPr>
      <w:r>
        <w:rPr>
          <w:rFonts w:hint="eastAsia"/>
          <w:b/>
          <w:bCs/>
        </w:rPr>
        <w:t>建立气候绩效评价机制。</w:t>
      </w:r>
      <w:r>
        <w:rPr>
          <w:rFonts w:hint="eastAsia"/>
        </w:rPr>
        <w:t>探索建立气候绩效评价机制，在政府生态文明建设目标责任考核中增加温室气体减排工作，建立控制温室气体排放目标责任评价考核机制。创新开展气候与环境信息披露管理，有关违法违规信息计入环境信用评价平台。鼓励企业公开温室气体排放相关信息，支持槟榔产业园、礼纪工业园等园区率先实施企业碳排放信息公开制度。与省内外高等院校、科研院所加强合作，鼓励产业园引入先进的低碳生产技术，探索建立低碳技术孵化中心和交流平台。</w:t>
      </w:r>
    </w:p>
    <w:p>
      <w:pPr>
        <w:ind w:firstLine="562"/>
      </w:pPr>
      <w:r>
        <w:rPr>
          <w:rFonts w:hint="eastAsia"/>
          <w:b/>
          <w:bCs/>
        </w:rPr>
        <w:t>提高应对气候变化能力。</w:t>
      </w:r>
      <w:r>
        <w:rPr>
          <w:rFonts w:hint="eastAsia"/>
        </w:rPr>
        <w:t>采用基于自然的解决方案减缓和应对气候变化，协同推进生物多样性保护、生态系统修复和环境治理，增强应对气候变化能力，提升生态系统质量和稳定性。在农业、林业、水利等领域以及城市、沿海、生态脆弱地区开展气候变化影响风险评估，实施应对气候变化行动，提升重点领域和地区的气候韧性。加强对湿地公园、红树林等受气候变化威胁的旅游资源的保护，增强旅游业适应气候变化能力。</w:t>
      </w:r>
    </w:p>
    <w:p>
      <w:pPr>
        <w:pStyle w:val="4"/>
      </w:pPr>
      <w:bookmarkStart w:id="39" w:name="_Toc152148713"/>
      <w:r>
        <w:t>3.2</w:t>
      </w:r>
      <w:r>
        <w:rPr>
          <w:rFonts w:hint="eastAsia"/>
        </w:rPr>
        <w:t>.</w:t>
      </w:r>
      <w:r>
        <w:t xml:space="preserve">2 </w:t>
      </w:r>
      <w:r>
        <w:rPr>
          <w:rFonts w:hint="eastAsia"/>
        </w:rPr>
        <w:t>坚持三水统筹，打好碧水保卫战</w:t>
      </w:r>
      <w:bookmarkEnd w:id="39"/>
    </w:p>
    <w:p>
      <w:pPr>
        <w:pStyle w:val="5"/>
      </w:pPr>
      <w:r>
        <w:rPr>
          <w:rFonts w:hint="eastAsia"/>
        </w:rPr>
        <w:t>3</w:t>
      </w:r>
      <w:r>
        <w:t xml:space="preserve">.2.2.1 </w:t>
      </w:r>
      <w:r>
        <w:rPr>
          <w:rFonts w:hint="eastAsia"/>
        </w:rPr>
        <w:t>保障水资源安全</w:t>
      </w:r>
    </w:p>
    <w:p>
      <w:pPr>
        <w:ind w:firstLine="562"/>
        <w:rPr>
          <w:b/>
          <w:bCs/>
        </w:rPr>
      </w:pPr>
      <w:bookmarkStart w:id="40" w:name="_Hlk145074592"/>
      <w:r>
        <w:rPr>
          <w:rFonts w:hint="eastAsia"/>
          <w:b/>
          <w:bCs/>
        </w:rPr>
        <w:t>1、优化水资源配置格局</w:t>
      </w:r>
    </w:p>
    <w:p>
      <w:pPr>
        <w:ind w:firstLine="562"/>
      </w:pPr>
      <w:r>
        <w:rPr>
          <w:rFonts w:hint="eastAsia"/>
          <w:b/>
          <w:bCs/>
        </w:rPr>
        <w:t>加快骨干引调水水网工程建设。</w:t>
      </w:r>
      <w:r>
        <w:rPr>
          <w:rFonts w:hint="eastAsia"/>
        </w:rPr>
        <w:t>优化水资源配置和调度，坚持优水优用，优先满足城乡居民生活用水，兼顾农业、工业、生态环境用水需要。加强牛路岭水库、万宁水库和军田水库的生态调度和智能化管理，合理压减农业用水，增加生态用水。以牛路岭水库为骨干水源，推动建设连接万宁水库、军田水库输水工程，形成地区供水安全保障网。</w:t>
      </w:r>
    </w:p>
    <w:p>
      <w:pPr>
        <w:ind w:firstLine="562"/>
      </w:pPr>
      <w:r>
        <w:rPr>
          <w:rFonts w:hint="eastAsia"/>
          <w:b/>
          <w:bCs/>
        </w:rPr>
        <w:t>加大非常规水源利用力度</w:t>
      </w:r>
      <w:r>
        <w:rPr>
          <w:rFonts w:hint="eastAsia"/>
        </w:rPr>
        <w:t>。推动再生水、雨水等非常规水纳入水资源统一配置，因地制宜合理布局再生水利用设施，不断拓宽利用途径和方式，城乡绿化、观赏性景观、河湖湿地生态补水等优先使用再生水。</w:t>
      </w:r>
    </w:p>
    <w:p>
      <w:pPr>
        <w:ind w:firstLine="562"/>
        <w:rPr>
          <w:b/>
          <w:bCs/>
        </w:rPr>
      </w:pPr>
      <w:r>
        <w:rPr>
          <w:rFonts w:hint="eastAsia"/>
          <w:b/>
          <w:bCs/>
        </w:rPr>
        <w:t>2、着力提升供水品质</w:t>
      </w:r>
    </w:p>
    <w:p>
      <w:pPr>
        <w:ind w:firstLine="562"/>
      </w:pPr>
      <w:r>
        <w:rPr>
          <w:rFonts w:hint="eastAsia"/>
          <w:b/>
          <w:bCs/>
        </w:rPr>
        <w:t>加强饮用水水源地保护。</w:t>
      </w:r>
      <w:r>
        <w:rPr>
          <w:rFonts w:hint="eastAsia"/>
        </w:rPr>
        <w:t>科学划定和调整饮用水水源保护区，论证农村水源地布局和取水口选址，逐步取消一批“小、散”及本底水质不达标的水源地，减少潜在的环境隐患。开展饮用水水源保护区规范建设。实施水源地安全警示、隔离防护、水源涵养和修复，对牛路岭水库、万宁水库和军田水库符合条件的水源地一级保护区建设隔离围网，实行封闭管理。强化农村集中式饮用水水源地周边环境卫生整治，重新划定农村集中式饮用水源保护区，依法清理保护区内违法建筑、排污口和各类养殖户，着力消除水源污染潜在风险，建立问题清单并向社会公开整改情况。</w:t>
      </w:r>
    </w:p>
    <w:p>
      <w:pPr>
        <w:ind w:firstLine="562"/>
      </w:pPr>
      <w:r>
        <w:rPr>
          <w:rFonts w:hint="eastAsia"/>
          <w:b/>
          <w:bCs/>
        </w:rPr>
        <w:t>改造完善供水设施。</w:t>
      </w:r>
      <w:r>
        <w:rPr>
          <w:rFonts w:hint="eastAsia"/>
        </w:rPr>
        <w:t>有序推进老旧水厂和供水管网更新改造，优化水处理工艺，降低管网漏损，着力解决因供水设施落后造成的水质不达标问题。加强城市二次供水设施改造和专业化运行维护，更新相关设施设备，定期进行设备检查和清洗消毒，提高入户水质。对于旅游景区和“候鸟”人口用水峰谷变化大的局部区域，分组分格完善供水设施。</w:t>
      </w:r>
      <w:r>
        <w:t>加快推动石梅湾-神州半岛旅游区、兴隆健康旅游产业园高品质饮用水设施建设，逐步全面实现园区生活饮用水可直饮。</w:t>
      </w:r>
    </w:p>
    <w:p>
      <w:pPr>
        <w:ind w:firstLine="562"/>
      </w:pPr>
      <w:r>
        <w:rPr>
          <w:rFonts w:hint="eastAsia"/>
          <w:b/>
          <w:bCs/>
        </w:rPr>
        <w:t>强化供水水质监管。</w:t>
      </w:r>
      <w:r>
        <w:rPr>
          <w:rFonts w:hint="eastAsia"/>
        </w:rPr>
        <w:t>健全完善供水单位检测＋监管部门监测＋公众参与的水质综合监督管理体系，细化落实从源头到龙头各供水主体、监管主体的水质保障责任，全面推进从水源到水龙头的全过程监督。</w:t>
      </w:r>
    </w:p>
    <w:bookmarkEnd w:id="40"/>
    <w:p>
      <w:pPr>
        <w:pStyle w:val="5"/>
      </w:pPr>
      <w:r>
        <w:t xml:space="preserve">3.2.2.2 </w:t>
      </w:r>
      <w:r>
        <w:rPr>
          <w:rFonts w:hint="eastAsia"/>
        </w:rPr>
        <w:t>强化水环境治理和监管</w:t>
      </w:r>
    </w:p>
    <w:p>
      <w:pPr>
        <w:ind w:firstLine="562"/>
      </w:pPr>
      <w:bookmarkStart w:id="41" w:name="_Hlk145074638"/>
      <w:r>
        <w:rPr>
          <w:rFonts w:hint="eastAsia"/>
          <w:b/>
          <w:bCs/>
        </w:rPr>
        <w:t>实施水污染防治控制单元达标管理</w:t>
      </w:r>
      <w:r>
        <w:rPr>
          <w:rFonts w:hint="eastAsia"/>
        </w:rPr>
        <w:t>。开展地表水环境功能分区管控，按照控制单元制定达标方案，明确目标和重点任务，完善“流域--水生态控制区--水环境控制单元”三级分区管理体系。加强水生态保护红线管控，实施严格的水生态环境保护措施，严格控制生态保护红线区的开发活动。</w:t>
      </w:r>
      <w:r>
        <w:t>加快开展</w:t>
      </w:r>
      <w:r>
        <w:rPr>
          <w:rFonts w:hint="eastAsia"/>
        </w:rPr>
        <w:t>万城片区截污工程、</w:t>
      </w:r>
      <w:r>
        <w:t>东山河污水截流工程、市城镇污水提质增效项目-管网整治改造等</w:t>
      </w:r>
      <w:r>
        <w:rPr>
          <w:rFonts w:hint="eastAsia"/>
        </w:rPr>
        <w:t>管网工程</w:t>
      </w:r>
      <w:r>
        <w:t>。重点完善老城区、建制镇及城乡结合部污水处理设施，逐步提高城市生活污水集中收集率。</w:t>
      </w:r>
      <w:r>
        <w:rPr>
          <w:rFonts w:hint="eastAsia"/>
        </w:rPr>
        <w:t>大力推行“河长制”“湖长制”，明确各级政府、园区、企业的水污染防治责任，推进政府和民间协同治理，建立县、镇、村三级体系，鼓励群众成立民间队伍，担负起河湖湾的巡查、监督职责。</w:t>
      </w:r>
    </w:p>
    <w:p>
      <w:pPr>
        <w:ind w:firstLine="562"/>
      </w:pPr>
      <w:r>
        <w:rPr>
          <w:rFonts w:hint="eastAsia"/>
          <w:b/>
          <w:bCs/>
        </w:rPr>
        <w:t>加强城镇内河（湖）综合整治。</w:t>
      </w:r>
      <w:r>
        <w:rPr>
          <w:rFonts w:hint="eastAsia"/>
        </w:rPr>
        <w:t>坚持“水环境质量只升不降”原则，健全河道保洁和生态修复等长效管护机制，巩固水污染防治行动方案整治成果，持续开展河湖“清四乱”，实施截污纳管、底泥清淤等措施，大幅削减污染负荷，加快推动礼纪镇茄新村茄新河综合治理工程，启动东山河万城至小海段综合整治一期工程。实施万宁市省级、县级河流水浮莲清理工程，实现河面无大面积漂浮物，河水无臭味，河岸无垃圾，河道无违建违占，无违法排污口，持续推进太阳河旧河道下游1</w:t>
      </w:r>
      <w:r>
        <w:t>2</w:t>
      </w:r>
      <w:r>
        <w:rPr>
          <w:rFonts w:hint="eastAsia"/>
        </w:rPr>
        <w:t>千米清淤疏浚工程。开展河道生态整治、水生态恢复，因地制宜建设湿地公园、亲水平台等设施，发挥湿地蓄滞涝水、调节径流、维护区域生态平衡等功能，改善城市生态环境质量和城市景观风貌，保护和建设城市生物的多样性，恢复城市自然生态调节功能。</w:t>
      </w:r>
    </w:p>
    <w:p>
      <w:pPr>
        <w:ind w:firstLine="562"/>
      </w:pPr>
      <w:r>
        <w:rPr>
          <w:rFonts w:hint="eastAsia"/>
          <w:b/>
          <w:bCs/>
        </w:rPr>
        <w:t>强化工业污水集中治理。</w:t>
      </w:r>
      <w:r>
        <w:rPr>
          <w:rFonts w:hint="eastAsia"/>
        </w:rPr>
        <w:t>完善槟榔产业园、礼纪工业园污水处理基础设施，提高工业污水集中收集率和处理能力，杜绝工业污水直排环境。对重点企业加强环境在线监控管理，确保工业污水稳定达标排放。强化产业园区雨污分流的监督管理，减少园区雨污合流，解决污水处理厂入水浓度低问题。全市新建、升级“八大产业”园区应同步规划建设污水处理设施、垃圾集中收集转运和渗滤液处理设施。持续排查装备水平低、环保设施差的小型工业企业，取缔不符合产业政策的木材加工、水泥砖厂、洗涤、农产品加工等污染水环境的生产项目。</w:t>
      </w:r>
    </w:p>
    <w:bookmarkEnd w:id="41"/>
    <w:p>
      <w:pPr>
        <w:pStyle w:val="5"/>
      </w:pPr>
      <w:r>
        <w:rPr>
          <w:rFonts w:hint="eastAsia"/>
        </w:rPr>
        <w:t>3</w:t>
      </w:r>
      <w:r>
        <w:t xml:space="preserve">.2.2.3 </w:t>
      </w:r>
      <w:r>
        <w:rPr>
          <w:rFonts w:hint="eastAsia"/>
        </w:rPr>
        <w:t>实施流域水生态恢复</w:t>
      </w:r>
    </w:p>
    <w:p>
      <w:pPr>
        <w:ind w:firstLine="562"/>
      </w:pPr>
      <w:bookmarkStart w:id="42" w:name="_Hlk145074674"/>
      <w:r>
        <w:rPr>
          <w:rFonts w:hint="eastAsia"/>
          <w:b/>
          <w:bCs/>
        </w:rPr>
        <w:t>推进重点河段水生态保护修复。</w:t>
      </w:r>
      <w:r>
        <w:rPr>
          <w:rFonts w:hint="eastAsia"/>
        </w:rPr>
        <w:t>以流域水系为单元，强化龙滚河、龙首河、龙尾河、太阳河和东山河等生态廊道整体保护、系统修复、综合治理，确保水生态环境质量总体保持优良。一是围绕龙滚河、龙首河、龙尾河、太阳河、三更罗水等主要生态廊道源头西部山区、饮用水源保护区以加大封育保护治理为主，加强滨河（湖）带生态建设，在河道两侧建设植被缓冲带和隔离带，强化水源涵养，加强水土保持监管，限制农林活动等人为扰动破坏原有林草植被，禁止侵占自然河湖、水库、湿地、青皮林、红树林等水源涵养空间，启动太阳河至东山河水系连通工程。二是加强东山河等城镇内河湖水生态保护修复，创建水生态文明城市。实施太阳河分洪渠岸坡1千米整治工程、龙首河岸坡1千米整治工程等城镇河道综合整治，对河湖岸线稳定性差、易崩塌或受破坏的地段采取工程措施及非工程措施进行加固、修复，包括生态护坡、亲水平台建设等内容，打造安全、生态、宜居的城市河道景观，彰显城市水文化品位。</w:t>
      </w:r>
    </w:p>
    <w:p>
      <w:pPr>
        <w:ind w:firstLine="562"/>
      </w:pPr>
      <w:r>
        <w:rPr>
          <w:rFonts w:hint="eastAsia"/>
          <w:b/>
          <w:bCs/>
        </w:rPr>
        <w:t>推进幸福河湖建设。</w:t>
      </w:r>
      <w:r>
        <w:rPr>
          <w:rFonts w:hint="eastAsia"/>
        </w:rPr>
        <w:t>按照河流汇流特性及沿河两岸土地开发利用特征，分区分类施策，城市河道重修复，加强水污染防治；郊野和山区河段重保护，强化水源涵养和封育保护。推进河湖行政执法与刑事司法的衔接，持续严厉打击非法采砂等破坏河湖行为。扎实推进幸福河湖建设，打造仁里河带状公园、东山河景观河岸带等景观带，建设万宁碑头水库生态修复工程，建设环库骑行步道，构建河流与绿地相连的游憩亲水空间，配套雕塑、喷泉等景观小品建设，扩充城市休闲旅游的空间，打造水清岸绿的市民休憩空间，让城市更加灵动、更加美丽。</w:t>
      </w:r>
    </w:p>
    <w:bookmarkEnd w:id="42"/>
    <w:p>
      <w:pPr>
        <w:pStyle w:val="4"/>
      </w:pPr>
      <w:bookmarkStart w:id="43" w:name="_Toc152148714"/>
      <w:r>
        <w:rPr>
          <w:rFonts w:hint="eastAsia"/>
        </w:rPr>
        <w:t>3</w:t>
      </w:r>
      <w:r>
        <w:t>.2</w:t>
      </w:r>
      <w:r>
        <w:rPr>
          <w:rFonts w:hint="eastAsia"/>
        </w:rPr>
        <w:t>.</w:t>
      </w:r>
      <w:r>
        <w:t xml:space="preserve">3 </w:t>
      </w:r>
      <w:r>
        <w:rPr>
          <w:rFonts w:hint="eastAsia"/>
        </w:rPr>
        <w:t>坚持协同治理，强化大气污染防治</w:t>
      </w:r>
      <w:bookmarkEnd w:id="43"/>
    </w:p>
    <w:p>
      <w:pPr>
        <w:pStyle w:val="5"/>
      </w:pPr>
      <w:r>
        <w:rPr>
          <w:rFonts w:hint="eastAsia"/>
        </w:rPr>
        <w:t>3</w:t>
      </w:r>
      <w:r>
        <w:t xml:space="preserve">.2.3.1 </w:t>
      </w:r>
      <w:r>
        <w:rPr>
          <w:rFonts w:hint="eastAsia"/>
        </w:rPr>
        <w:t>建立大气污染防治精细化管控机制</w:t>
      </w:r>
    </w:p>
    <w:p>
      <w:pPr>
        <w:ind w:firstLine="562"/>
      </w:pPr>
      <w:r>
        <w:rPr>
          <w:rFonts w:hint="eastAsia"/>
          <w:b/>
          <w:bCs/>
        </w:rPr>
        <w:t>建立大气环境管控分区管理体系。</w:t>
      </w:r>
      <w:r>
        <w:rPr>
          <w:rFonts w:hint="eastAsia"/>
        </w:rPr>
        <w:t>开展大气污染源来源解析，编制大气污染源排放清单，建立动态更新机制。划分大气环境管控优先保护区、重点管控区和一般管控区，分区分类落实管控要求。修订完善污染天气应急预案，健全污染过程预警应急响应机制。建立与琼海、琼中、陵水等市县的联防联控机制，有效防控、应对冬春季污染天气。</w:t>
      </w:r>
    </w:p>
    <w:p>
      <w:pPr>
        <w:ind w:firstLine="562"/>
      </w:pPr>
      <w:r>
        <w:rPr>
          <w:rFonts w:hint="eastAsia"/>
          <w:b/>
          <w:bCs/>
        </w:rPr>
        <w:t>建立多污染物协同管控机制。</w:t>
      </w:r>
      <w:r>
        <w:rPr>
          <w:rFonts w:hint="eastAsia"/>
        </w:rPr>
        <w:t>建立细颗粒物（PM</w:t>
      </w:r>
      <w:r>
        <w:rPr>
          <w:rFonts w:hint="eastAsia"/>
          <w:vertAlign w:val="subscript"/>
        </w:rPr>
        <w:t>2.5</w:t>
      </w:r>
      <w:r>
        <w:rPr>
          <w:rFonts w:hint="eastAsia"/>
        </w:rPr>
        <w:t>）和臭氧协同管控为核心，兼顾温室气体的大气污染防控体系，推动多污染物协同减排。针对机动车尾气排放、生物质燃烧、扬尘等细颗粒物主要来源，依托臭氧形成机理研究与源解析成果，开展协同治理。优先针对臭氧高值区及高值时段，实施氮氧化物与挥发性有机物协同减排，有序降低细颗粒物浓度。强化有毒有害大气污染物风险管控。</w:t>
      </w:r>
    </w:p>
    <w:p>
      <w:pPr>
        <w:pStyle w:val="5"/>
      </w:pPr>
      <w:r>
        <w:t xml:space="preserve">3.2.3.2 </w:t>
      </w:r>
      <w:r>
        <w:rPr>
          <w:rFonts w:hint="eastAsia"/>
        </w:rPr>
        <w:t>持续推进大气污染源治理</w:t>
      </w:r>
    </w:p>
    <w:p>
      <w:pPr>
        <w:ind w:firstLine="562"/>
      </w:pPr>
      <w:r>
        <w:rPr>
          <w:rFonts w:hint="eastAsia"/>
          <w:b/>
          <w:bCs/>
        </w:rPr>
        <w:t>开展固定源大气污染治理。</w:t>
      </w:r>
      <w:r>
        <w:rPr>
          <w:rFonts w:hint="eastAsia"/>
        </w:rPr>
        <w:t>深入污染预警预报工作，科学预判未来万宁市重点发展的槟榔产业、特色热带农产品加工业、新型工业等产业大气污染物排放强度，开展“双控双减”行动。加强槟榔初加工、木材加工及砖瓦厂等行业监管及大气污染源清单更新管理，发挥监控设备的电子监管作用，持续开展监督性监测，确保大气污染物达标排放。</w:t>
      </w:r>
    </w:p>
    <w:p>
      <w:pPr>
        <w:ind w:firstLine="562"/>
      </w:pPr>
      <w:r>
        <w:rPr>
          <w:rFonts w:hint="eastAsia"/>
          <w:b/>
          <w:bCs/>
        </w:rPr>
        <w:t>加强大气面源污染治理。</w:t>
      </w:r>
      <w:r>
        <w:rPr>
          <w:rFonts w:hint="eastAsia"/>
        </w:rPr>
        <w:t>深入开展“六个严禁，两个推进”。大力开展建筑工地扬尘污染治理，严格落实“六个100%”措施，控制城市扬尘污染。加快推广城镇道路机械化清扫。落实露天焚烧镇（区）属地责任制，严格实施秸秆禁烧区、鞭炮禁燃区和高污染燃料禁烧区管理，严厉打击露天焚烧工业废弃物、垃圾、秸秆等违法行为。加强农业源氨排放控制，大力推广测土配方施肥和农药减量控害增效技术，加快缓控释肥为主的新型肥料试验推广。</w:t>
      </w:r>
    </w:p>
    <w:p>
      <w:pPr>
        <w:ind w:firstLine="562"/>
      </w:pPr>
      <w:r>
        <w:rPr>
          <w:rFonts w:hint="eastAsia"/>
          <w:b/>
          <w:bCs/>
        </w:rPr>
        <w:t>推进移动源污染治理。</w:t>
      </w:r>
      <w:r>
        <w:rPr>
          <w:rFonts w:hint="eastAsia"/>
        </w:rPr>
        <w:t>加快淘汰高污染排放机动车，全部淘汰“黄标车”和老旧柴油车。严格执行报废机动车告知和注销登记制度，加大报废汽车在回收、存储、运输、注销等环节程序的监管，坚决杜绝报废汽车流向市场。逐步淘汰排放不达标的公共交通车辆，鼓励群众购买、使用新能源汽车。加强船舶油品质量监管，深入开展调查，掌握工程机械、船舶等非道路移动源的污染状况，建立大气污染排放清单，推进高能耗、高污染非道路移动机械淘汰置换或清洁化改造。全域划定非道路移动机械高排放禁入区。加快“绿色港口”建设，整治港区船舶和车辆的尾气排放，推进港区清洁能源利用，推广“油改气”和“油改电”技术，加快船用燃料清洁化进程，严格执行船舶大气污染物排放标准。</w:t>
      </w:r>
    </w:p>
    <w:p>
      <w:pPr>
        <w:ind w:firstLine="562"/>
      </w:pPr>
      <w:r>
        <w:rPr>
          <w:rFonts w:hint="eastAsia"/>
          <w:b/>
          <w:bCs/>
        </w:rPr>
        <w:t>加快整治挥发性有机物。</w:t>
      </w:r>
      <w:r>
        <w:rPr>
          <w:rFonts w:hint="eastAsia"/>
        </w:rPr>
        <w:t>规范挥发性有机物（VOCs）排放企业管理，建立重点行业建设项目VOCs排放总量管理制度。执行严格的废气收集和净化标准，加强汽车船舶维修、家具制造、槟榔加工、建筑装饰装修等重点行业监管，从源头控制VOCs排放。在重点区域对VOCs新增排放量实行区域内现役源倍量削减替代。</w:t>
      </w:r>
    </w:p>
    <w:p>
      <w:pPr>
        <w:ind w:firstLine="562"/>
      </w:pPr>
      <w:r>
        <w:rPr>
          <w:rFonts w:hint="eastAsia"/>
          <w:b/>
          <w:bCs/>
        </w:rPr>
        <w:t>加强餐饮业污染防治。</w:t>
      </w:r>
      <w:r>
        <w:rPr>
          <w:rFonts w:hint="eastAsia"/>
        </w:rPr>
        <w:t>持续开展餐饮业油烟污染专项整治行动，城镇餐饮服务经营场所全部安装油烟净化设施。建立重点餐饮业油烟监管源名录，加强设施运行监管。严控露天烧烤。</w:t>
      </w:r>
    </w:p>
    <w:p>
      <w:pPr>
        <w:pStyle w:val="4"/>
      </w:pPr>
      <w:bookmarkStart w:id="44" w:name="_Toc152148715"/>
      <w:r>
        <w:t xml:space="preserve">3.2.4 </w:t>
      </w:r>
      <w:r>
        <w:rPr>
          <w:rFonts w:hint="eastAsia"/>
        </w:rPr>
        <w:t>坚持源头管控，开展土壤污染防治</w:t>
      </w:r>
      <w:bookmarkEnd w:id="44"/>
    </w:p>
    <w:p>
      <w:pPr>
        <w:ind w:firstLine="562"/>
      </w:pPr>
      <w:bookmarkStart w:id="45" w:name="_Hlk145074834"/>
      <w:r>
        <w:rPr>
          <w:rFonts w:hint="eastAsia"/>
          <w:b/>
          <w:bCs/>
        </w:rPr>
        <w:t>推进农用地风险管控和安全利用。</w:t>
      </w:r>
      <w:r>
        <w:rPr>
          <w:rFonts w:hint="eastAsia"/>
        </w:rPr>
        <w:t>实施严格的农用地分类管理，加大农业面源污染防治力度，开展土壤改良和土地整治。综合应用稳定水田比例、测土配方施肥等措施，控制和减缓土壤酸化。开展集中连片安全利用类、严格管控类农用地和农产品超标区域周边污染源排查整治。根据土壤污染状况和农产品超标情况，编制实施受污染耕地安全利用方案。对实施了安全利用类措施的轻中度污染耕地，持续开展水肥调控、土壤改良等安全利用措施。对列入严格管控类的耕地全部落实风险管控措施。</w:t>
      </w:r>
    </w:p>
    <w:p>
      <w:pPr>
        <w:ind w:firstLine="562"/>
      </w:pPr>
      <w:r>
        <w:rPr>
          <w:rFonts w:hint="eastAsia"/>
          <w:b/>
          <w:bCs/>
        </w:rPr>
        <w:t>加强建设用地安全利用。</w:t>
      </w:r>
      <w:r>
        <w:rPr>
          <w:rFonts w:hint="eastAsia"/>
        </w:rPr>
        <w:t>根据海南省疑似污染地块名单、污染地块名录及其风险评估结果、风险管控和修复名录，合理确定污染地块的土地用途。加强规划审批管理，将建设用地土壤环境管理要求纳入城市规划和供地管理，土地开发利用必须符合土壤环境质量要求。以新增工业用地为重点，建立土壤环境强制调查评估与备案制度，严格环境准入。对重点行业企业用地土壤污染状况持续开展调查评估、地块风险分级和调查数据集成分析，建立土壤污染重点监管企业名录。探索建立企业用地污染情况一张图管理制度，加强建设用地土壤污染风险管控和修复。</w:t>
      </w:r>
    </w:p>
    <w:p>
      <w:pPr>
        <w:ind w:firstLine="562"/>
      </w:pPr>
      <w:r>
        <w:rPr>
          <w:rFonts w:hint="eastAsia"/>
          <w:b/>
          <w:bCs/>
        </w:rPr>
        <w:t>加强重点区域土壤监管。</w:t>
      </w:r>
      <w:r>
        <w:rPr>
          <w:rFonts w:hint="eastAsia"/>
        </w:rPr>
        <w:t>坚持预防为主、保护优先、风险管控和分类治理，聚焦重点区域、行业和土壤污染物，加强源头管控。强化槟榔产业园、礼纪工业园等园区土壤污染风险防范，开展园区土壤污染状况调查。按照“谁污染，谁治理”原则，造成土壤污染的单位或个人要承担治理与修复的主体责任。严防矿产资源开发污染土壤。协同推进建设用地风险管控、重点企业及周边风险管控、未污染土壤保护及农用地面源污染预防等工作。</w:t>
      </w:r>
    </w:p>
    <w:p>
      <w:pPr>
        <w:pStyle w:val="4"/>
        <w:rPr>
          <w:shd w:val="clear" w:color="auto" w:fill="FFFFFF"/>
        </w:rPr>
      </w:pPr>
      <w:bookmarkStart w:id="46" w:name="_Toc152148716"/>
      <w:r>
        <w:rPr>
          <w:rFonts w:hint="eastAsia"/>
          <w:shd w:val="clear" w:color="auto" w:fill="FFFFFF"/>
        </w:rPr>
        <w:t>3</w:t>
      </w:r>
      <w:r>
        <w:rPr>
          <w:shd w:val="clear" w:color="auto" w:fill="FFFFFF"/>
        </w:rPr>
        <w:t xml:space="preserve">.2.5 </w:t>
      </w:r>
      <w:r>
        <w:rPr>
          <w:rFonts w:hint="eastAsia"/>
          <w:shd w:val="clear" w:color="auto" w:fill="FFFFFF"/>
        </w:rPr>
        <w:t>坚持“三化”原则，打造“无废万宁”样板</w:t>
      </w:r>
      <w:bookmarkEnd w:id="46"/>
    </w:p>
    <w:p>
      <w:pPr>
        <w:ind w:firstLine="562"/>
        <w:rPr>
          <w:shd w:val="clear" w:color="auto" w:fill="FFFFFF"/>
        </w:rPr>
      </w:pPr>
      <w:r>
        <w:rPr>
          <w:rFonts w:hint="eastAsia"/>
          <w:b/>
          <w:shd w:val="clear" w:color="auto" w:fill="FFFFFF"/>
        </w:rPr>
        <w:t>推进固体废物源头减量。</w:t>
      </w:r>
      <w:r>
        <w:rPr>
          <w:rFonts w:hint="eastAsia"/>
          <w:shd w:val="clear" w:color="auto" w:fill="FFFFFF"/>
        </w:rPr>
        <w:t>持续加强塑料污染全链条治理，严格落实禁塑制度，全面禁止不可降解塑料制品生产、运输、销售、储存和使用，积极推广替代产品，推动“无塑海岛”建设。</w:t>
      </w:r>
      <w:r>
        <w:rPr>
          <w:rFonts w:hint="eastAsia"/>
          <w:bCs/>
          <w:shd w:val="clear" w:color="auto" w:fill="FFFFFF"/>
        </w:rPr>
        <w:t>推行产品全生命周期绿色管理，推动循环型工业发展，积极培育市级绿色工厂和绿色园区。落实生产者责任延伸制度，夯实产废者的主体责任，延长产废者的责任追究链条。</w:t>
      </w:r>
      <w:r>
        <w:rPr>
          <w:rFonts w:hint="eastAsia"/>
          <w:shd w:val="clear" w:color="auto" w:fill="FFFFFF"/>
        </w:rPr>
        <w:t>大发展生态农业，减少化肥、农药等农业投入品使用量，减少农业固体废弃物产生量。大力推广绿色建筑和新型建筑工业化发展，促进建筑垃圾源头减量。全面推进物流、网络购物平台绿色包装应用，巩固生活垃圾“零增长”成效。</w:t>
      </w:r>
    </w:p>
    <w:p>
      <w:pPr>
        <w:ind w:firstLine="562"/>
        <w:rPr>
          <w:shd w:val="clear" w:color="auto" w:fill="FFFFFF"/>
        </w:rPr>
      </w:pPr>
      <w:r>
        <w:rPr>
          <w:rFonts w:hint="eastAsia"/>
          <w:b/>
          <w:bCs/>
          <w:shd w:val="clear" w:color="auto" w:fill="FFFFFF"/>
        </w:rPr>
        <w:t>加强固体废物分类收集。</w:t>
      </w:r>
      <w:r>
        <w:rPr>
          <w:rFonts w:hint="eastAsia"/>
          <w:shd w:val="clear" w:color="auto" w:fill="FFFFFF"/>
        </w:rPr>
        <w:t>实施精准化源头分类、专业化二次分拣、智能化高效清运、最大化资源利用、集中化统一处置的一般工业固废“五步法”治理模式，建立政府监督、企业付费、第三方运营的收运机制。推动医疗卫生机构医疗废物按规范分类，实现医疗废物集中处置体系全覆盖。建立政府引导、企业主体、农户参与的农业废弃物收集体系，持续完善病死猪无害化处理和废旧农膜、化肥农药包装废弃物回收制度。</w:t>
      </w:r>
    </w:p>
    <w:p>
      <w:pPr>
        <w:ind w:firstLine="562"/>
      </w:pPr>
      <w:r>
        <w:rPr>
          <w:rFonts w:hint="eastAsia"/>
          <w:b/>
          <w:bCs/>
        </w:rPr>
        <w:t>拓宽固体废物资源化利用渠道。</w:t>
      </w:r>
      <w:r>
        <w:rPr>
          <w:rFonts w:hint="eastAsia"/>
        </w:rPr>
        <w:t>积极推进固体废物资源利用园区化、规模化和产业化，提升工业固体废物综合利用率。着力提升畜禽粪污、秸秆等农业废弃物资源化利用水平，推广种养循环处置利用、有机肥资源化利用等新型畜禽粪污综合利用模式，推广秸秆“五料化”等秸秆综合利用模式。建立健全建筑渣土和污染土壤的资源化利用和消纳体系。实施建筑渣土资源化利用项目，提升建筑垃圾循环利用水平。建立城乡环卫与再生资源回收网络“两网融合”，促进餐厨垃圾资源化利用，推动塑料废弃物资源化利用的规范化、集中化和专业化。</w:t>
      </w:r>
    </w:p>
    <w:p>
      <w:pPr>
        <w:ind w:firstLine="562"/>
        <w:rPr>
          <w:b/>
          <w:bCs/>
        </w:rPr>
      </w:pPr>
      <w:r>
        <w:rPr>
          <w:rFonts w:hint="eastAsia"/>
          <w:b/>
          <w:bCs/>
        </w:rPr>
        <w:t>加强电子废物污染防治。</w:t>
      </w:r>
      <w:r>
        <w:rPr>
          <w:rFonts w:hint="eastAsia"/>
        </w:rPr>
        <w:t>加强对电器电子产品维修、无害化处置、去向等过程监管，鼓励有条件的企业自建回收网络和处理处置基地，不能自行回收和处理处置的，按照市场经济的运行模式付费给专业公司回收和处理。</w:t>
      </w:r>
    </w:p>
    <w:bookmarkEnd w:id="45"/>
    <w:p>
      <w:pPr>
        <w:pStyle w:val="4"/>
      </w:pPr>
      <w:bookmarkStart w:id="47" w:name="_Toc152148717"/>
      <w:r>
        <w:rPr>
          <w:rFonts w:hint="eastAsia"/>
        </w:rPr>
        <w:t>3</w:t>
      </w:r>
      <w:r>
        <w:t xml:space="preserve">.2.6 </w:t>
      </w:r>
      <w:r>
        <w:rPr>
          <w:rFonts w:hint="eastAsia"/>
        </w:rPr>
        <w:t>坚持陆海统筹，推进海洋环境保护</w:t>
      </w:r>
      <w:bookmarkEnd w:id="47"/>
    </w:p>
    <w:p>
      <w:pPr>
        <w:pStyle w:val="5"/>
      </w:pPr>
      <w:r>
        <w:rPr>
          <w:rFonts w:hint="eastAsia"/>
        </w:rPr>
        <w:t>3</w:t>
      </w:r>
      <w:r>
        <w:t xml:space="preserve">.2.6.1 </w:t>
      </w:r>
      <w:r>
        <w:rPr>
          <w:rFonts w:hint="eastAsia"/>
        </w:rPr>
        <w:t>强化陆海统筹保护与发展</w:t>
      </w:r>
    </w:p>
    <w:p>
      <w:pPr>
        <w:ind w:firstLine="562"/>
      </w:pPr>
      <w:r>
        <w:rPr>
          <w:rFonts w:hint="eastAsia"/>
          <w:b/>
          <w:bCs/>
        </w:rPr>
        <w:t>加强陆海空间规划统筹。</w:t>
      </w:r>
      <w:r>
        <w:rPr>
          <w:rFonts w:hint="eastAsia"/>
        </w:rPr>
        <w:t>以海洋经济中长期规划为基础，科学评价资源环境承载能力及海洋空间开发适宜性，科学有序开发利用海洋资源，优化近岸海域保护和开发布局。探索统筹陆海资源配置，优化日月湾冲浪基地、水产养殖、乌场港等沿海产业布局。强化陆海协同的生态空间管控，充分考虑河口区域，研究划定陆海衔接的空间管控单元，建立差别化管控措施。</w:t>
      </w:r>
    </w:p>
    <w:p>
      <w:pPr>
        <w:ind w:firstLine="562"/>
      </w:pPr>
      <w:r>
        <w:rPr>
          <w:rFonts w:hint="eastAsia"/>
          <w:b/>
          <w:bCs/>
        </w:rPr>
        <w:t>严格保护自然海岸线。</w:t>
      </w:r>
      <w:r>
        <w:rPr>
          <w:rFonts w:hint="eastAsia"/>
        </w:rPr>
        <w:t>对海岸线开发利用现状进行调查，为科学修复和保护奠定基础。优化海岸带生产、生活和生态空间布局，实施最严格的围填海管控和岸线开发管控制度。规范海岸带保护和开发利用管理，科学制定海岸带陆域200米范围内保护规划，严格海岸带空间管控，严禁供应已纳入海岸带陆域200米严格控制区域内的房地产用地。建立陆海统筹、标本兼治的综合修复模式，加快解决月岛等围填海历史遗留问题，保护青皮林、红树林及其生态，改善海岸带和近岸海域环境状况，恢复自然岸段和风貌。加强海岸线监管，对各类占用岸线的工程进行严格监督管理。开展海岸线变化、围填海情况、海岸带侵蚀情况的常态化监测。严厉打击非法海岸采砂活动，对侵蚀岸段修建海岸防护工程。</w:t>
      </w:r>
    </w:p>
    <w:p>
      <w:pPr>
        <w:pStyle w:val="5"/>
      </w:pPr>
      <w:r>
        <w:rPr>
          <w:rFonts w:hint="eastAsia"/>
        </w:rPr>
        <w:t>3</w:t>
      </w:r>
      <w:r>
        <w:t>.2.6.2 加强</w:t>
      </w:r>
      <w:r>
        <w:rPr>
          <w:rFonts w:hint="eastAsia"/>
        </w:rPr>
        <w:t>海洋生态系统治理和修复</w:t>
      </w:r>
    </w:p>
    <w:p>
      <w:pPr>
        <w:ind w:firstLine="562"/>
      </w:pPr>
      <w:r>
        <w:rPr>
          <w:rFonts w:hint="eastAsia"/>
          <w:b/>
          <w:bCs/>
        </w:rPr>
        <w:t>控制陆源污染排放。</w:t>
      </w:r>
      <w:r>
        <w:rPr>
          <w:rFonts w:hint="eastAsia"/>
        </w:rPr>
        <w:t>加强农业面源污染治理，全面开展直排海污染源整治行动。建立陆海统筹的生态环境治理制度、生态系统保护修复和污染防治区域联动机制，深入实施河长制、湖长制和美丽海湾建设。加快沿海城镇和农村污水处理设施和配套管网建设，全面提高生活污水收集与处理能力。加强“总量”“浓度”双控，强化太阳河、东鲁溪等入海河流水质监测监管，科学推进入海河流污染物（总磷、总氮）减排。</w:t>
      </w:r>
    </w:p>
    <w:p>
      <w:pPr>
        <w:ind w:firstLine="562"/>
      </w:pPr>
      <w:r>
        <w:rPr>
          <w:rFonts w:hint="eastAsia"/>
          <w:b/>
          <w:bCs/>
        </w:rPr>
        <w:t>加快海水养殖污染治理。</w:t>
      </w:r>
      <w:r>
        <w:rPr>
          <w:rFonts w:hint="eastAsia"/>
        </w:rPr>
        <w:t>优化水产养殖布局，合力调控养殖种类和养殖密度，积极发展生态养殖，压缩围海养殖总量，推动海水养殖环保设施建设与清洁生产。严格管控海水养殖尾水排放，推行海水养殖尾水集中生态化处理，强化废弃物集中收储处理和资源利用，推进小海、老爷海沿岸水产养殖清理工作。加强养殖尾水排放的监测和监管，养殖尾水排放严格按照海南省地方标准《水产养殖尾水排放要求》执行。以</w:t>
      </w:r>
      <w:r>
        <w:rPr>
          <w:rFonts w:ascii="Arial" w:hAnsi="Arial" w:cs="Arial"/>
          <w:color w:val="404040"/>
          <w:sz w:val="27"/>
          <w:szCs w:val="27"/>
        </w:rPr>
        <w:t>万宁洲仔岛国家级海洋牧场示范区</w:t>
      </w:r>
      <w:r>
        <w:rPr>
          <w:rFonts w:hint="eastAsia" w:ascii="Arial" w:hAnsi="Arial" w:cs="Arial"/>
          <w:color w:val="404040"/>
          <w:sz w:val="27"/>
          <w:szCs w:val="27"/>
        </w:rPr>
        <w:t>抓手，推动</w:t>
      </w:r>
      <w:r>
        <w:rPr>
          <w:rFonts w:hint="eastAsia"/>
        </w:rPr>
        <w:t>港北、加井岛、甘蔗岛海洋牧场建设。</w:t>
      </w:r>
    </w:p>
    <w:p>
      <w:pPr>
        <w:ind w:firstLine="562"/>
      </w:pPr>
      <w:r>
        <w:rPr>
          <w:rFonts w:hint="eastAsia"/>
          <w:b/>
          <w:bCs/>
        </w:rPr>
        <w:t>加强船舶港口污染控制。</w:t>
      </w:r>
      <w:r>
        <w:rPr>
          <w:rFonts w:hint="eastAsia"/>
        </w:rPr>
        <w:t>严格执行《船舶水污染物排放控制标准》。支持近海船舶按照环保、舒适、安全要求加快更新改造，严禁新建不达标船舶进入运输市场，限期淘汰经改造仍不能达到污染物排放标准的船舶。推进港口码头船舶污染物接收处置设施建设，确保污水、废弃物转运畅通。加强渔业船舶含油污水、生活污水和垃圾的清理和处置。对现有船舶、港口和码头污染情况进行调查统计，制定船舶、港口和码头污染整治方案。</w:t>
      </w:r>
    </w:p>
    <w:p>
      <w:pPr>
        <w:ind w:firstLine="562"/>
      </w:pPr>
      <w:r>
        <w:rPr>
          <w:rFonts w:hint="eastAsia"/>
          <w:b/>
          <w:bCs/>
        </w:rPr>
        <w:t>强化海上污染源防控。</w:t>
      </w:r>
      <w:r>
        <w:rPr>
          <w:rFonts w:hint="eastAsia"/>
        </w:rPr>
        <w:t>全面实行海上环卫制度，加强沿岸琼海、陵水等市县间的海洋环境保护合作，协同开展近岸海漂垃圾清理，实现岸滩和近岸海域海洋垃圾治理全覆盖。对近岸岛屿开展固体垃圾的集中收集处置，保护岛屿周边环境安全。加快推进环卫码头选址建设，逐步扩大海上保洁范围，加大沙滩保洁力度，减少海漂垃圾。</w:t>
      </w:r>
    </w:p>
    <w:p>
      <w:pPr>
        <w:pStyle w:val="5"/>
      </w:pPr>
      <w:r>
        <w:rPr>
          <w:rFonts w:hint="eastAsia"/>
        </w:rPr>
        <w:t>3</w:t>
      </w:r>
      <w:r>
        <w:t xml:space="preserve">.2.6.3 </w:t>
      </w:r>
      <w:r>
        <w:rPr>
          <w:rFonts w:hint="eastAsia"/>
        </w:rPr>
        <w:t>提升海洋生态环境监管能力</w:t>
      </w:r>
    </w:p>
    <w:p>
      <w:pPr>
        <w:ind w:firstLine="562"/>
      </w:pPr>
      <w:r>
        <w:rPr>
          <w:rFonts w:hint="eastAsia"/>
          <w:b/>
          <w:bCs/>
        </w:rPr>
        <w:t>提高海洋应急监测、预警与处置能力。</w:t>
      </w:r>
      <w:r>
        <w:rPr>
          <w:rFonts w:hint="eastAsia"/>
        </w:rPr>
        <w:t>建立海洋突发事故方面的协作联动机制，加强应急基地建设、海洋应急合作、应急物资储备和信息资源共建共享。强化大数据、无人船、无人机等高新技术在海洋突发事故风险防控和应急响应中的支撑作用，建立应急指挥平台和辅助决策系统，提升海上应急决策和指挥调度能力。加强海洋应急监测体系、事故发生后损失评估能力、近岸海域油污处置能力等应急能力建设。</w:t>
      </w:r>
    </w:p>
    <w:p>
      <w:pPr>
        <w:ind w:firstLine="562"/>
      </w:pPr>
      <w:r>
        <w:rPr>
          <w:rFonts w:hint="eastAsia"/>
          <w:b/>
          <w:bCs/>
        </w:rPr>
        <w:t>加强海湾污染防治综合管理。</w:t>
      </w:r>
      <w:r>
        <w:rPr>
          <w:rFonts w:hint="eastAsia"/>
        </w:rPr>
        <w:t>统筹考虑流域自然资源禀赋、产业基础、发展潜力、水环境和海洋环境容量等因素，优化水产养殖等产业布局。划定流域海域管控单元，构建“地表水、地下水、海水”的水系统保护体系，系统推进水污染防治、水生态治理和水资源保护。建立健全“纳污水体-入河（海）排污口-排污管线-污染源”全链条管理体系，重点处置农村面源污染。</w:t>
      </w:r>
    </w:p>
    <w:p>
      <w:pPr>
        <w:ind w:firstLine="562"/>
      </w:pPr>
      <w:r>
        <w:rPr>
          <w:rFonts w:hint="eastAsia"/>
          <w:b/>
          <w:bCs/>
        </w:rPr>
        <w:t>开展智慧海湾管理。</w:t>
      </w:r>
      <w:r>
        <w:rPr>
          <w:rFonts w:hint="eastAsia"/>
        </w:rPr>
        <w:t>加强与琼海、陵水的海洋环保合作，探索开展入海污染物联防联控，构建陆海统筹保护新格局。建设统一的天地空全方位的海洋生态环境监测网络，整合分散在各部门的陆海环境信息，建立高效的海湾信息快速获取机制，实施陆海监测监管信息共享，形成海湾生态环境监测、巡查监管、环境执法的合力，实现陆海统筹、上下联动、协同治理的海湾智能化管理，促进海洋生态文明建设，保障海洋经济持续稳定发展。</w:t>
      </w:r>
    </w:p>
    <w:p>
      <w:pPr>
        <w:pStyle w:val="4"/>
      </w:pPr>
      <w:bookmarkStart w:id="48" w:name="_Toc152148718"/>
      <w:r>
        <w:rPr>
          <w:rFonts w:hint="eastAsia"/>
        </w:rPr>
        <w:t>3</w:t>
      </w:r>
      <w:r>
        <w:t xml:space="preserve">.2.7 </w:t>
      </w:r>
      <w:r>
        <w:rPr>
          <w:rFonts w:hint="eastAsia"/>
        </w:rPr>
        <w:t>坚持保护优先，筑牢生态安全格局</w:t>
      </w:r>
      <w:bookmarkEnd w:id="48"/>
    </w:p>
    <w:p>
      <w:pPr>
        <w:pStyle w:val="5"/>
      </w:pPr>
      <w:r>
        <w:t>3</w:t>
      </w:r>
      <w:r>
        <w:rPr>
          <w:rFonts w:hint="eastAsia"/>
        </w:rPr>
        <w:t>.</w:t>
      </w:r>
      <w:r>
        <w:t xml:space="preserve">2.7.1 </w:t>
      </w:r>
      <w:r>
        <w:rPr>
          <w:rFonts w:hint="eastAsia"/>
        </w:rPr>
        <w:t>筑牢生态安全格局</w:t>
      </w:r>
    </w:p>
    <w:p>
      <w:pPr>
        <w:ind w:firstLine="562"/>
      </w:pPr>
      <w:r>
        <w:rPr>
          <w:rFonts w:hint="eastAsia" w:asciiTheme="minorHAnsi" w:hAnsiTheme="minorHAnsi"/>
          <w:b/>
          <w:shd w:val="clear" w:color="auto" w:fill="FFFFFF"/>
        </w:rPr>
        <w:t>建设绿色生态屏障。</w:t>
      </w:r>
      <w:r>
        <w:rPr>
          <w:rFonts w:hint="eastAsia" w:asciiTheme="minorHAnsi" w:hAnsiTheme="minorHAnsi"/>
          <w:shd w:val="clear" w:color="auto" w:fill="FFFFFF"/>
        </w:rPr>
        <w:t>全面落实“林长制”。加强生态公益林建设和天然林保护，停止天然林商业性采伐，严格执行林地定额管理制度与森林采伐限额制度，深化集体林权制度改革，建设木材战略储备林基地，探索林地林木规范流转，加强森林生态系统保护</w:t>
      </w:r>
      <w:r>
        <w:rPr>
          <w:rFonts w:hint="eastAsia"/>
        </w:rPr>
        <w:t>。推进新中农场与大洲村交界区、大洲村与兴隆华侨农场交界区、黄山村西部、东和农场、尖岭等区域构筑1025公顷生态安全屏障工程。</w:t>
      </w:r>
      <w:r>
        <w:rPr>
          <w:rFonts w:hint="eastAsia" w:asciiTheme="minorHAnsi" w:hAnsiTheme="minorHAnsi"/>
          <w:shd w:val="clear" w:color="auto" w:fill="FFFFFF"/>
        </w:rPr>
        <w:t>持续开展退耕退塘还林还草工程，组织全民义务植树活动，提高营造林质量，提升城镇生态景观林带，绿化美化村庄，强化流域和沿海防护林体系建设，大力开展海岸基干林带和纵深防护林修复和保护，培育国</w:t>
      </w:r>
      <w:r>
        <w:rPr>
          <w:rFonts w:hint="eastAsia" w:ascii="仿宋_GB2312" w:hAnsiTheme="minorHAnsi"/>
          <w:shd w:val="clear" w:color="auto" w:fill="FFFFFF"/>
        </w:rPr>
        <w:t>土绿化新机制。</w:t>
      </w:r>
    </w:p>
    <w:p>
      <w:pPr>
        <w:ind w:firstLine="562"/>
      </w:pPr>
      <w:r>
        <w:rPr>
          <w:rFonts w:hint="eastAsia" w:asciiTheme="minorHAnsi" w:hAnsiTheme="minorHAnsi"/>
          <w:b/>
          <w:shd w:val="clear" w:color="auto" w:fill="FFFFFF"/>
        </w:rPr>
        <w:t>建设蓝色生态屏障。</w:t>
      </w:r>
      <w:r>
        <w:rPr>
          <w:rFonts w:asciiTheme="minorHAnsi" w:hAnsiTheme="minorHAnsi"/>
          <w:shd w:val="clear" w:color="auto" w:fill="FFFFFF"/>
        </w:rPr>
        <w:t>加快海岸带红树林和防护林带建设</w:t>
      </w:r>
      <w:r>
        <w:rPr>
          <w:rFonts w:hint="eastAsia" w:asciiTheme="minorHAnsi" w:hAnsiTheme="minorHAnsi"/>
          <w:shd w:val="clear" w:color="auto" w:fill="FFFFFF"/>
        </w:rPr>
        <w:t>，</w:t>
      </w:r>
      <w:r>
        <w:rPr>
          <w:rFonts w:asciiTheme="minorHAnsi" w:hAnsiTheme="minorHAnsi"/>
          <w:shd w:val="clear" w:color="auto" w:fill="FFFFFF"/>
        </w:rPr>
        <w:t>形成滨海湿地为主的海岸带安全屏障</w:t>
      </w:r>
      <w:r>
        <w:rPr>
          <w:rFonts w:hint="eastAsia" w:asciiTheme="minorHAnsi" w:hAnsiTheme="minorHAnsi"/>
          <w:shd w:val="clear" w:color="auto" w:fill="FFFFFF"/>
        </w:rPr>
        <w:t>。坚持保护优先、自然恢复为主，加强红树林、珊瑚礁、海草床等典型海洋生态系统保护修复和监管，建立入海口蓝色生态屏障。加强红树林湿地常态化监测，对红树林及湿地生态系统等因子的实时动态监测。开展蓝色海岸带整治行动，</w:t>
      </w:r>
      <w:r>
        <w:rPr>
          <w:rFonts w:hint="eastAsia"/>
        </w:rPr>
        <w:t>全力推进日月湾海洋生态保护和修复工程，严格落实《万宁小海综合整治与海洋碳汇试点实施方案》，持续推进小海流域综合治理工程，助推老爷海退塘还林种植红树林生态修复工程和周家庄新造红树林修复项目，进一步改善海岸生态环境。</w:t>
      </w:r>
    </w:p>
    <w:p>
      <w:pPr>
        <w:pStyle w:val="5"/>
      </w:pPr>
      <w:r>
        <w:rPr>
          <w:rFonts w:hint="eastAsia"/>
        </w:rPr>
        <w:t>3</w:t>
      </w:r>
      <w:r>
        <w:t xml:space="preserve">.2.7.1 </w:t>
      </w:r>
      <w:r>
        <w:rPr>
          <w:rFonts w:hint="eastAsia"/>
        </w:rPr>
        <w:t>加强生物多样性保护</w:t>
      </w:r>
    </w:p>
    <w:p>
      <w:pPr>
        <w:ind w:firstLine="562"/>
        <w:rPr>
          <w:rFonts w:asciiTheme="minorHAnsi" w:hAnsiTheme="minorHAnsi"/>
          <w:shd w:val="clear" w:color="auto" w:fill="FFFFFF"/>
        </w:rPr>
      </w:pPr>
      <w:bookmarkStart w:id="49" w:name="_Hlk145075238"/>
      <w:r>
        <w:rPr>
          <w:rFonts w:hint="eastAsia" w:asciiTheme="minorHAnsi" w:hAnsiTheme="minorHAnsi"/>
          <w:b/>
          <w:shd w:val="clear" w:color="auto" w:fill="FFFFFF"/>
        </w:rPr>
        <w:t>开展生物多样性调查与监测</w:t>
      </w:r>
      <w:r>
        <w:rPr>
          <w:rFonts w:hint="eastAsia" w:asciiTheme="minorHAnsi" w:hAnsiTheme="minorHAnsi"/>
          <w:bCs/>
          <w:shd w:val="clear" w:color="auto" w:fill="FFFFFF"/>
        </w:rPr>
        <w:t>。</w:t>
      </w:r>
      <w:r>
        <w:rPr>
          <w:rFonts w:asciiTheme="minorHAnsi" w:hAnsiTheme="minorHAnsi"/>
          <w:shd w:val="clear" w:color="auto" w:fill="FFFFFF"/>
        </w:rPr>
        <w:t>以维护河流水生生态系统安全为</w:t>
      </w:r>
      <w:r>
        <w:rPr>
          <w:rFonts w:hint="eastAsia" w:asciiTheme="minorHAnsi" w:hAnsiTheme="minorHAnsi"/>
          <w:shd w:val="clear" w:color="auto" w:fill="FFFFFF"/>
        </w:rPr>
        <w:t>目的</w:t>
      </w:r>
      <w:r>
        <w:rPr>
          <w:rFonts w:asciiTheme="minorHAnsi" w:hAnsiTheme="minorHAnsi"/>
          <w:shd w:val="clear" w:color="auto" w:fill="FFFFFF"/>
        </w:rPr>
        <w:t>，</w:t>
      </w:r>
      <w:r>
        <w:rPr>
          <w:rFonts w:hint="eastAsia" w:asciiTheme="minorHAnsi" w:hAnsiTheme="minorHAnsi"/>
          <w:shd w:val="clear" w:color="auto" w:fill="FFFFFF"/>
        </w:rPr>
        <w:t>培育</w:t>
      </w:r>
      <w:r>
        <w:rPr>
          <w:rFonts w:asciiTheme="minorHAnsi" w:hAnsiTheme="minorHAnsi"/>
          <w:shd w:val="clear" w:color="auto" w:fill="FFFFFF"/>
        </w:rPr>
        <w:t>沿河、沿溪流而形成的条带状自然植被。</w:t>
      </w:r>
      <w:r>
        <w:rPr>
          <w:rFonts w:hint="eastAsia" w:asciiTheme="minorHAnsi" w:hAnsiTheme="minorHAnsi"/>
          <w:shd w:val="clear" w:color="auto" w:fill="FFFFFF"/>
        </w:rPr>
        <w:t>以自然保护区为重点，</w:t>
      </w:r>
      <w:r>
        <w:rPr>
          <w:rFonts w:asciiTheme="minorHAnsi" w:hAnsiTheme="minorHAnsi"/>
          <w:shd w:val="clear" w:color="auto" w:fill="FFFFFF"/>
        </w:rPr>
        <w:t>开展</w:t>
      </w:r>
      <w:r>
        <w:rPr>
          <w:rFonts w:hint="eastAsia" w:asciiTheme="minorHAnsi" w:hAnsiTheme="minorHAnsi"/>
          <w:shd w:val="clear" w:color="auto" w:fill="FFFFFF"/>
        </w:rPr>
        <w:t>市域生物多样性本底调查，建立生物多样性基础数据库和信息管理系统。加强红树林、滨海湿地、原生动植物种质资源的常态化监测观测、评估和保护，加强生物多样性综合预警管理。</w:t>
      </w:r>
    </w:p>
    <w:p>
      <w:pPr>
        <w:ind w:firstLine="562"/>
        <w:rPr>
          <w:shd w:val="clear" w:color="auto" w:fill="FFFFFF"/>
        </w:rPr>
      </w:pPr>
      <w:r>
        <w:rPr>
          <w:rFonts w:hint="eastAsia"/>
          <w:b/>
          <w:bCs/>
          <w:shd w:val="clear" w:color="auto" w:fill="FFFFFF"/>
        </w:rPr>
        <w:t>加强物种资源管理及外来物种防范。</w:t>
      </w:r>
      <w:r>
        <w:rPr>
          <w:rFonts w:hint="eastAsia"/>
          <w:shd w:val="clear" w:color="auto" w:fill="FFFFFF"/>
        </w:rPr>
        <w:t>针对入侵物种可能影响本土资源的区域，实施针对性的生态防控措施。加强外来物种管控，持续开展自然生态系统外来入侵物种调查、监测和预警，及时更新外来入侵物种名录。开展外来有害生物及重大动植物疫情疫病监测，规范野生动物疫源疫病监测防控。</w:t>
      </w:r>
    </w:p>
    <w:p>
      <w:pPr>
        <w:ind w:firstLine="562"/>
        <w:rPr>
          <w:shd w:val="clear" w:color="auto" w:fill="FFFFFF"/>
        </w:rPr>
      </w:pPr>
      <w:r>
        <w:rPr>
          <w:rFonts w:hint="eastAsia"/>
          <w:b/>
          <w:bCs/>
          <w:shd w:val="clear" w:color="auto" w:fill="FFFFFF"/>
        </w:rPr>
        <w:t>加强生物栖息地保护。</w:t>
      </w:r>
      <w:r>
        <w:rPr>
          <w:rFonts w:hint="eastAsia"/>
          <w:shd w:val="clear" w:color="auto" w:fill="FFFFFF"/>
        </w:rPr>
        <w:t>采取保护陆生动植物栖息地、保护珍稀濒危植物栖息地、增加生态区生物多样性等多项措施，保护野生动物迁移通道，提高栖息地连通性。重点保护金丝燕、东澳野生稻、青皮、硬核、水椰、玉蕊、海南苏铁等濒危或珍稀动植物。持续开展水葫芦等水生植物清理行动。加强珊瑚礁、红树林、海草床、滨海湿地等典型生态系统的监测、评估和保护，保护海洋生物多样性。</w:t>
      </w:r>
    </w:p>
    <w:bookmarkEnd w:id="49"/>
    <w:p>
      <w:pPr>
        <w:pStyle w:val="5"/>
        <w:rPr>
          <w:shd w:val="clear" w:color="auto" w:fill="FFFFFF"/>
        </w:rPr>
      </w:pPr>
      <w:r>
        <w:rPr>
          <w:rFonts w:hint="eastAsia"/>
          <w:shd w:val="clear" w:color="auto" w:fill="FFFFFF"/>
        </w:rPr>
        <w:t>3</w:t>
      </w:r>
      <w:r>
        <w:rPr>
          <w:shd w:val="clear" w:color="auto" w:fill="FFFFFF"/>
        </w:rPr>
        <w:t xml:space="preserve">.2.7.2 </w:t>
      </w:r>
      <w:r>
        <w:rPr>
          <w:rFonts w:hint="eastAsia"/>
          <w:shd w:val="clear" w:color="auto" w:fill="FFFFFF"/>
        </w:rPr>
        <w:t>实施重要生态系统保育与修复</w:t>
      </w:r>
    </w:p>
    <w:p>
      <w:pPr>
        <w:ind w:firstLine="562"/>
        <w:rPr>
          <w:rFonts w:asciiTheme="minorHAnsi" w:hAnsiTheme="minorHAnsi"/>
          <w:b/>
          <w:shd w:val="clear" w:color="auto" w:fill="FFFFFF"/>
        </w:rPr>
      </w:pPr>
      <w:bookmarkStart w:id="50" w:name="_Hlk77949862"/>
      <w:bookmarkStart w:id="51" w:name="_Hlk145075260"/>
      <w:r>
        <w:rPr>
          <w:rFonts w:hint="eastAsia" w:asciiTheme="minorHAnsi" w:hAnsiTheme="minorHAnsi"/>
          <w:b/>
          <w:shd w:val="clear" w:color="auto" w:fill="FFFFFF"/>
        </w:rPr>
        <w:t>加强西部山区生态保育</w:t>
      </w:r>
      <w:r>
        <w:rPr>
          <w:rFonts w:hint="eastAsia" w:asciiTheme="minorHAnsi" w:hAnsiTheme="minorHAnsi"/>
          <w:bCs/>
          <w:shd w:val="clear" w:color="auto" w:fill="FFFFFF"/>
        </w:rPr>
        <w:t>。全面加强天然林保护，加快热带雨林和热带季雨林自然恢复。</w:t>
      </w:r>
      <w:r>
        <w:rPr>
          <w:rFonts w:hint="eastAsia" w:asciiTheme="minorHAnsi" w:hAnsiTheme="minorHAnsi"/>
          <w:shd w:val="clear" w:color="auto" w:fill="FFFFFF"/>
        </w:rPr>
        <w:t>开展西部山区重点水源地、水库、湖泊周边水土流失的治理。加强三更罗等西部山区乡镇生产建设项目水土保持实施情况监督检查，重点监督河道弃土弃渣和水源地的坡地无序开发。</w:t>
      </w:r>
    </w:p>
    <w:bookmarkEnd w:id="50"/>
    <w:p>
      <w:pPr>
        <w:ind w:firstLine="562"/>
      </w:pPr>
      <w:r>
        <w:rPr>
          <w:rFonts w:hint="eastAsia" w:asciiTheme="minorHAnsi" w:hAnsiTheme="minorHAnsi"/>
          <w:b/>
          <w:shd w:val="clear" w:color="auto" w:fill="FFFFFF"/>
        </w:rPr>
        <w:t>推进湿地保护与修复</w:t>
      </w:r>
      <w:r>
        <w:rPr>
          <w:rFonts w:hint="eastAsia" w:asciiTheme="minorHAnsi" w:hAnsiTheme="minorHAnsi"/>
          <w:bCs/>
          <w:shd w:val="clear" w:color="auto" w:fill="FFFFFF"/>
        </w:rPr>
        <w:t>。</w:t>
      </w:r>
      <w:r>
        <w:rPr>
          <w:rFonts w:hint="eastAsia" w:asciiTheme="minorHAnsi" w:hAnsiTheme="minorHAnsi"/>
          <w:shd w:val="clear" w:color="auto" w:fill="FFFFFF"/>
        </w:rPr>
        <w:t>开展滨海湿地、河流湿地、湖泊湿地、沼泽湿地、人工湿地等</w:t>
      </w:r>
      <w:r>
        <w:rPr>
          <w:rFonts w:hint="eastAsia"/>
        </w:rPr>
        <w:t>本底调查，摸清湿地资源分布、类型及特点等湿地资源家底。开展青皮林自然保护区等重要湿地保护与修复，保障湿地生态用水。协同</w:t>
      </w:r>
      <w:r>
        <w:rPr>
          <w:rFonts w:hint="eastAsia" w:asciiTheme="minorHAnsi" w:hAnsiTheme="minorHAnsi"/>
          <w:shd w:val="clear" w:color="auto" w:fill="FFFFFF"/>
        </w:rPr>
        <w:t>推进万泉河流域水生态文明建设及综合整治工程。</w:t>
      </w:r>
      <w:r>
        <w:rPr>
          <w:rFonts w:hint="eastAsia"/>
        </w:rPr>
        <w:t>完善以自然保护区为核心、湿地公园为网络、人工小微湿地等保护形式为补充的湿地保护体系。谋划万宁水库湖心岛、乐南村沿海岸线、春园村村海岸线等2</w:t>
      </w:r>
      <w:r>
        <w:t>16公顷</w:t>
      </w:r>
      <w:r>
        <w:rPr>
          <w:rFonts w:hint="eastAsia"/>
        </w:rPr>
        <w:t>河湖海退养还湿，湿地生态保护与修复工程。</w:t>
      </w:r>
    </w:p>
    <w:p>
      <w:pPr>
        <w:ind w:firstLine="562"/>
        <w:rPr>
          <w:rFonts w:asciiTheme="minorHAnsi" w:hAnsiTheme="minorHAnsi"/>
          <w:shd w:val="clear" w:color="auto" w:fill="FFFFFF"/>
        </w:rPr>
      </w:pPr>
      <w:r>
        <w:rPr>
          <w:rFonts w:hint="eastAsia" w:asciiTheme="minorHAnsi" w:hAnsiTheme="minorHAnsi"/>
          <w:b/>
          <w:shd w:val="clear" w:color="auto" w:fill="FFFFFF"/>
        </w:rPr>
        <w:t>推进城市生态修复</w:t>
      </w:r>
      <w:r>
        <w:rPr>
          <w:rFonts w:hint="eastAsia" w:asciiTheme="minorHAnsi" w:hAnsiTheme="minorHAnsi"/>
          <w:bCs/>
          <w:shd w:val="clear" w:color="auto" w:fill="FFFFFF"/>
        </w:rPr>
        <w:t>。稳步推进生态修复、加强山体自然风貌的保护，</w:t>
      </w:r>
      <w:r>
        <w:rPr>
          <w:rFonts w:asciiTheme="minorHAnsi" w:hAnsiTheme="minorHAnsi"/>
          <w:shd w:val="clear" w:color="auto" w:fill="FFFFFF"/>
        </w:rPr>
        <w:t>对废弃</w:t>
      </w:r>
      <w:r>
        <w:rPr>
          <w:rFonts w:hint="eastAsia" w:asciiTheme="minorHAnsi" w:hAnsiTheme="minorHAnsi"/>
          <w:shd w:val="clear" w:color="auto" w:fill="FFFFFF"/>
        </w:rPr>
        <w:t>工矿用地</w:t>
      </w:r>
      <w:r>
        <w:rPr>
          <w:rFonts w:asciiTheme="minorHAnsi" w:hAnsiTheme="minorHAnsi"/>
          <w:shd w:val="clear" w:color="auto" w:fill="FFFFFF"/>
        </w:rPr>
        <w:t>、损毁山体进行综合治理和生态修复</w:t>
      </w:r>
      <w:r>
        <w:rPr>
          <w:rFonts w:hint="eastAsia" w:asciiTheme="minorHAnsi" w:hAnsiTheme="minorHAnsi"/>
          <w:shd w:val="clear" w:color="auto" w:fill="FFFFFF"/>
        </w:rPr>
        <w:t>。加大对违反矿山生态环境保护行为的查处力度，加快关闭废弃矿山裸露山体的生态修复。</w:t>
      </w:r>
    </w:p>
    <w:p>
      <w:pPr>
        <w:ind w:firstLine="562"/>
        <w:rPr>
          <w:rFonts w:asciiTheme="minorHAnsi" w:hAnsiTheme="minorHAnsi"/>
          <w:shd w:val="clear" w:color="auto" w:fill="FFFFFF"/>
        </w:rPr>
      </w:pPr>
      <w:r>
        <w:rPr>
          <w:rFonts w:hint="eastAsia" w:asciiTheme="minorHAnsi" w:hAnsiTheme="minorHAnsi"/>
          <w:b/>
          <w:shd w:val="clear" w:color="auto" w:fill="FFFFFF"/>
        </w:rPr>
        <w:t>完善城乡绿色景观带。</w:t>
      </w:r>
      <w:r>
        <w:rPr>
          <w:rFonts w:hint="eastAsia" w:asciiTheme="minorHAnsi" w:hAnsiTheme="minorHAnsi"/>
          <w:shd w:val="clear" w:color="auto" w:fill="FFFFFF"/>
        </w:rPr>
        <w:t>加强城市花园、公共绿地和乡村美化建设，提升人居生态环境质量。在城市进出口、主要干线节点建立生态景观长廊，开展城市出入口绿化景观建设工程，推广屋顶绿化、立体绿化、地下空间绿化等多种绿化形式。加大</w:t>
      </w:r>
      <w:r>
        <w:rPr>
          <w:rFonts w:asciiTheme="minorHAnsi" w:hAnsiTheme="minorHAnsi"/>
          <w:shd w:val="clear" w:color="auto" w:fill="FFFFFF"/>
        </w:rPr>
        <w:t>道路生态廊道建设，形成</w:t>
      </w:r>
      <w:r>
        <w:rPr>
          <w:rFonts w:hint="eastAsia" w:asciiTheme="minorHAnsi" w:hAnsiTheme="minorHAnsi"/>
          <w:shd w:val="clear" w:color="auto" w:fill="FFFFFF"/>
        </w:rPr>
        <w:t>既</w:t>
      </w:r>
      <w:r>
        <w:rPr>
          <w:rFonts w:asciiTheme="minorHAnsi" w:hAnsiTheme="minorHAnsi"/>
          <w:shd w:val="clear" w:color="auto" w:fill="FFFFFF"/>
        </w:rPr>
        <w:t>具有生态系统服务功能</w:t>
      </w:r>
      <w:r>
        <w:rPr>
          <w:rFonts w:hint="eastAsia" w:asciiTheme="minorHAnsi" w:hAnsiTheme="minorHAnsi"/>
          <w:shd w:val="clear" w:color="auto" w:fill="FFFFFF"/>
        </w:rPr>
        <w:t>，降低</w:t>
      </w:r>
      <w:r>
        <w:rPr>
          <w:rFonts w:asciiTheme="minorHAnsi" w:hAnsiTheme="minorHAnsi"/>
          <w:shd w:val="clear" w:color="auto" w:fill="FFFFFF"/>
        </w:rPr>
        <w:t>城市交通系统的大气、噪声污染，又有优美环境的道路生态廊道网络骨架。</w:t>
      </w:r>
      <w:r>
        <w:rPr>
          <w:rFonts w:hint="eastAsia" w:asciiTheme="minorHAnsi" w:hAnsiTheme="minorHAnsi"/>
          <w:shd w:val="clear" w:color="auto" w:fill="FFFFFF"/>
        </w:rPr>
        <w:t>镇墟</w:t>
      </w:r>
      <w:r>
        <w:rPr>
          <w:rFonts w:asciiTheme="minorHAnsi" w:hAnsiTheme="minorHAnsi"/>
          <w:shd w:val="clear" w:color="auto" w:fill="FFFFFF"/>
        </w:rPr>
        <w:t>通往农村和农村之间的道路两侧建设植被带，</w:t>
      </w:r>
      <w:r>
        <w:rPr>
          <w:rFonts w:hint="eastAsia" w:asciiTheme="minorHAnsi" w:hAnsiTheme="minorHAnsi"/>
          <w:shd w:val="clear" w:color="auto" w:fill="FFFFFF"/>
        </w:rPr>
        <w:t>建成绿道网络体系。推动绿道网向具有良好生态服务功能的乡村绿色基础设施升级，将花果香、树形美、经济价值高的造林树种引入绿色通道工程，打造生态景观林带，形成城镇周边缓冲地带的绿色围栏。</w:t>
      </w:r>
    </w:p>
    <w:bookmarkEnd w:id="51"/>
    <w:p>
      <w:pPr>
        <w:pStyle w:val="4"/>
      </w:pPr>
      <w:bookmarkStart w:id="52" w:name="_Toc152148719"/>
      <w:r>
        <w:rPr>
          <w:rFonts w:hint="eastAsia"/>
        </w:rPr>
        <w:t>3</w:t>
      </w:r>
      <w:r>
        <w:t>.2</w:t>
      </w:r>
      <w:r>
        <w:rPr>
          <w:rFonts w:hint="eastAsia"/>
        </w:rPr>
        <w:t>.</w:t>
      </w:r>
      <w:r>
        <w:t xml:space="preserve">8 </w:t>
      </w:r>
      <w:r>
        <w:rPr>
          <w:rFonts w:hint="eastAsia"/>
        </w:rPr>
        <w:t>坚持风险防控，守牢生态安全底线</w:t>
      </w:r>
      <w:bookmarkEnd w:id="52"/>
    </w:p>
    <w:p>
      <w:pPr>
        <w:pStyle w:val="5"/>
      </w:pPr>
      <w:r>
        <w:rPr>
          <w:rFonts w:hint="eastAsia"/>
        </w:rPr>
        <w:t>3</w:t>
      </w:r>
      <w:r>
        <w:t xml:space="preserve">.2.8.1 </w:t>
      </w:r>
      <w:r>
        <w:rPr>
          <w:rFonts w:hint="eastAsia"/>
        </w:rPr>
        <w:t>健全突发环境事件应急管理体系</w:t>
      </w:r>
    </w:p>
    <w:p>
      <w:pPr>
        <w:ind w:firstLine="562"/>
      </w:pPr>
      <w:r>
        <w:rPr>
          <w:rFonts w:hint="eastAsia"/>
          <w:b/>
          <w:bCs/>
        </w:rPr>
        <w:t>强化突发环境事件应急管理。</w:t>
      </w:r>
      <w:r>
        <w:rPr>
          <w:rFonts w:hint="eastAsia"/>
        </w:rPr>
        <w:t>完善突发环境应急机构指挥体系，探索建立“图上分析、图上调度、图上会商、图上指挥”的贯穿规划、环评、监管、应急等环节的环境安全管理模式，实现环境风险源分级分类动态管理、应急预案备案“线上”管理、风险隐患全流程闭环管理。开展环境风险源的调查和评估，重点对槟榔产业园、大唐燃气发电厂等园区（企业）开展环境风险分析和防范对策会商管理，掌握环境风险隐患企业信息，建立环境风险源数据库。加强与周边市县及市内各部门间的应急管理工作交流与合作，共同提升应对和处置跨区域突发环境事件的整体水平，坚决守住环境安全底线，强化应急演练，确保环境安全事故“零发生”。</w:t>
      </w:r>
    </w:p>
    <w:p>
      <w:pPr>
        <w:ind w:firstLine="562"/>
      </w:pPr>
      <w:r>
        <w:rPr>
          <w:rFonts w:hint="eastAsia"/>
          <w:b/>
          <w:bCs/>
        </w:rPr>
        <w:t>加强城市应对突发环境事件能力</w:t>
      </w:r>
      <w:r>
        <w:rPr>
          <w:rFonts w:hint="eastAsia"/>
        </w:rPr>
        <w:t>。</w:t>
      </w:r>
      <w:r>
        <w:rPr>
          <w:rFonts w:hint="eastAsia" w:asciiTheme="minorHAnsi" w:hAnsiTheme="minorHAnsi"/>
          <w:shd w:val="clear" w:color="auto" w:fill="FFFFFF"/>
        </w:rPr>
        <w:t>强化重污染天气、饮用水水源地、有毒有害气体等关系群众健康的重点领域风险预警，建立健全预测预警制度、技术、工程和综合应急救援体系。鼓励社会资源参与有偿应急服务，建立常态化训练与管理机制。建立健全生态环境与相关部门间的环境应急联动机制，实现信息互通、资源共享，提高突发环境事件防范和处置能力。</w:t>
      </w:r>
    </w:p>
    <w:p>
      <w:pPr>
        <w:pStyle w:val="5"/>
      </w:pPr>
      <w:r>
        <w:t xml:space="preserve">3.2.8.2 </w:t>
      </w:r>
      <w:r>
        <w:rPr>
          <w:rFonts w:hint="eastAsia"/>
        </w:rPr>
        <w:t>加强危险废物污染防治</w:t>
      </w:r>
    </w:p>
    <w:p>
      <w:pPr>
        <w:ind w:firstLine="562"/>
      </w:pPr>
      <w:r>
        <w:rPr>
          <w:rFonts w:hint="eastAsia"/>
          <w:b/>
          <w:bCs/>
        </w:rPr>
        <w:t>提升企业规范化管理水平。</w:t>
      </w:r>
      <w:r>
        <w:rPr>
          <w:rFonts w:hint="eastAsia"/>
        </w:rPr>
        <w:t>摸清全市危险废物的产生、存放、转移情况，加强危险废物产生和转运企业的环境监管，做到“一厂一档”，提高规范化管理水平。危险废物产生企业要切实落实污染防治主体责任，全面落实危险废物识别标志、出入库称重记录、分质分类包装等管理制度，制定风险防范措施和应急预案，确保危险废物收集、贮存、转运规范有序。采用“互联网+”监管手段，开展危险废物的申报登记、经营许可、转移联单等信息化动态管理，实现全过程追溯。</w:t>
      </w:r>
    </w:p>
    <w:p>
      <w:pPr>
        <w:ind w:firstLine="562"/>
      </w:pPr>
      <w:r>
        <w:rPr>
          <w:rFonts w:hint="eastAsia"/>
          <w:b/>
          <w:bCs/>
        </w:rPr>
        <w:t>加强危险废物执法监管。</w:t>
      </w:r>
      <w:r>
        <w:rPr>
          <w:rFonts w:hint="eastAsia"/>
        </w:rPr>
        <w:t>严格控制产生危险废物的项目建设。加强危废监管与污染源普查、总量减排、排污许可等工作的衔接，严厉打击随意倾倒危险废物和无证经营危险废物、非法转移或处置危险废物等违法行为。</w:t>
      </w:r>
    </w:p>
    <w:p>
      <w:pPr>
        <w:ind w:firstLine="562"/>
      </w:pPr>
      <w:r>
        <w:rPr>
          <w:rFonts w:hint="eastAsia"/>
          <w:b/>
          <w:bCs/>
        </w:rPr>
        <w:t>加强医疗废物全过程管理。</w:t>
      </w:r>
      <w:r>
        <w:rPr>
          <w:rFonts w:hint="eastAsia"/>
        </w:rPr>
        <w:t>严格实行医疗废物登记制度与医疗废物转移联单制度，按照《医疗废物分类目录》，对医疗废物实施分类管理，医疗废物暂存的时间、地点、设施、设备必须规范达标，防止露天堆放医疗废物，杜绝医疗废物流向社会非法加工利用。医疗机构应及时将医疗废物交由医疗废物集中处置单位处置。不具备集中处置条件的农村卫生所，应依托镇医疗机构，落实医疗废物“小箱进大箱”，完善“村收集、镇转运、市处置”的农村医疗废物处置体系。加强医疗垃圾应急处置能力建设，确保医疗废物安全处置率稳定保持100%。</w:t>
      </w:r>
    </w:p>
    <w:p>
      <w:pPr>
        <w:ind w:firstLine="560"/>
      </w:pPr>
    </w:p>
    <w:p>
      <w:pPr>
        <w:widowControl/>
        <w:adjustRightInd/>
        <w:snapToGrid/>
        <w:spacing w:line="240" w:lineRule="auto"/>
        <w:ind w:firstLine="0" w:firstLineChars="0"/>
        <w:jc w:val="left"/>
      </w:pPr>
      <w:r>
        <w:br w:type="page"/>
      </w:r>
    </w:p>
    <w:p>
      <w:pPr>
        <w:pStyle w:val="3"/>
      </w:pPr>
      <w:bookmarkStart w:id="53" w:name="_Toc152148720"/>
      <w:r>
        <w:rPr>
          <w:rFonts w:hint="eastAsia"/>
        </w:rPr>
        <w:t>3</w:t>
      </w:r>
      <w:r>
        <w:t xml:space="preserve">.3 </w:t>
      </w:r>
      <w:r>
        <w:rPr>
          <w:rFonts w:hint="eastAsia"/>
        </w:rPr>
        <w:t>优化生态空间，建设绿色万宁</w:t>
      </w:r>
      <w:bookmarkEnd w:id="53"/>
    </w:p>
    <w:p>
      <w:pPr>
        <w:ind w:firstLine="560"/>
      </w:pPr>
      <w:r>
        <w:rPr>
          <w:rFonts w:hint="eastAsia"/>
        </w:rPr>
        <w:t>构建“两屏、五区、一轴、多廊”的生态网络格局，塑造具有重要生态价值的热带陆海生境，统筹各类生态要素的保护与利用，严格环境质量底线管控，系统实施生态修复工程，推进绿色发展，倡导绿色生活，促进人与自然和谐共生。</w:t>
      </w:r>
    </w:p>
    <w:p>
      <w:pPr>
        <w:pStyle w:val="4"/>
      </w:pPr>
      <w:bookmarkStart w:id="54" w:name="_Toc152148721"/>
      <w:r>
        <w:rPr>
          <w:rFonts w:hint="eastAsia"/>
        </w:rPr>
        <w:t>3</w:t>
      </w:r>
      <w:r>
        <w:t xml:space="preserve">.3.1 </w:t>
      </w:r>
      <w:r>
        <w:rPr>
          <w:rFonts w:hint="eastAsia"/>
        </w:rPr>
        <w:t>生态网络格局</w:t>
      </w:r>
      <w:bookmarkEnd w:id="54"/>
    </w:p>
    <w:p>
      <w:pPr>
        <w:ind w:firstLine="560"/>
      </w:pPr>
      <w:r>
        <w:rPr>
          <w:rFonts w:hint="eastAsia"/>
        </w:rPr>
        <w:t>依托天然流域分区，融合生态廊道、生态节点规划成果，在万宁市形成</w:t>
      </w:r>
      <w:bookmarkStart w:id="55" w:name="_Hlk149738994"/>
      <w:r>
        <w:rPr>
          <w:rFonts w:hint="eastAsia"/>
        </w:rPr>
        <w:t>“两屏、五区、一轴、多廊”的生态网络格局，实现“山水林田湖海草沙整体保护、系统修复、综合治理”的战略要求</w:t>
      </w:r>
      <w:bookmarkEnd w:id="55"/>
      <w:r>
        <w:rPr>
          <w:rFonts w:hint="eastAsia"/>
        </w:rPr>
        <w:t>。</w:t>
      </w:r>
    </w:p>
    <w:p>
      <w:pPr>
        <w:ind w:firstLine="560"/>
      </w:pPr>
      <w:r>
        <w:rPr>
          <w:rFonts w:hint="eastAsia"/>
        </w:rPr>
        <w:t>两屏：西部万泉河生态屏障、东部海岸带生态修复屏障共同构建万宁市陆、海两翼的生态安全格局。</w:t>
      </w:r>
    </w:p>
    <w:p>
      <w:pPr>
        <w:ind w:firstLine="560"/>
      </w:pPr>
      <w:r>
        <w:rPr>
          <w:rFonts w:hint="eastAsia"/>
        </w:rPr>
        <w:t>五区：依托于流域形成万泉河流域水源涵养与生物多样性保护修复区、龙滚河流域水源涵养与水土保持保护修复区、龙首河</w:t>
      </w:r>
      <w:r>
        <w:t>-</w:t>
      </w:r>
      <w:r>
        <w:rPr>
          <w:rFonts w:hint="eastAsia"/>
        </w:rPr>
        <w:t>龙尾河</w:t>
      </w:r>
      <w:r>
        <w:t>-</w:t>
      </w:r>
      <w:r>
        <w:rPr>
          <w:rFonts w:hint="eastAsia"/>
        </w:rPr>
        <w:t>小海水源涵养与生物多样性保护修复区、太阳河流域水源涵养与生物多样性保护修复区、南部海岸带海岸防护与生物多样性保护修复区五大生态修复片区。</w:t>
      </w:r>
    </w:p>
    <w:p>
      <w:pPr>
        <w:ind w:firstLine="560"/>
      </w:pPr>
      <w:r>
        <w:rPr>
          <w:rFonts w:hint="eastAsia"/>
        </w:rPr>
        <w:t>一轴：构建台地生态保护修复轴贯通万宁市南北，加强同省域生态走廊的衔接与串联，增加南北向生态连接。</w:t>
      </w:r>
    </w:p>
    <w:p>
      <w:pPr>
        <w:ind w:firstLine="560"/>
      </w:pPr>
      <w:r>
        <w:rPr>
          <w:rFonts w:hint="eastAsia"/>
        </w:rPr>
        <w:t>多廊：依托现状天然河道，构建龙滚河、龙首河、龙尾河、太阳河、长兴河生态廊道，润泽全城。</w:t>
      </w:r>
    </w:p>
    <w:p>
      <w:pPr>
        <w:pStyle w:val="4"/>
      </w:pPr>
      <w:bookmarkStart w:id="56" w:name="_Toc152148722"/>
      <w:r>
        <w:rPr>
          <w:rFonts w:hint="eastAsia"/>
        </w:rPr>
        <w:t>3</w:t>
      </w:r>
      <w:r>
        <w:t xml:space="preserve">.3.2 </w:t>
      </w:r>
      <w:r>
        <w:rPr>
          <w:rFonts w:hint="eastAsia"/>
        </w:rPr>
        <w:t>生态空间用途管制</w:t>
      </w:r>
      <w:bookmarkEnd w:id="56"/>
    </w:p>
    <w:p>
      <w:pPr>
        <w:ind w:firstLine="562"/>
        <w:rPr>
          <w:rFonts w:asciiTheme="minorHAnsi" w:hAnsiTheme="minorHAnsi"/>
          <w:b/>
          <w:shd w:val="clear" w:color="auto" w:fill="FFFFFF"/>
        </w:rPr>
      </w:pPr>
      <w:r>
        <w:rPr>
          <w:rFonts w:hint="eastAsia" w:asciiTheme="minorHAnsi" w:hAnsiTheme="minorHAnsi"/>
          <w:b/>
          <w:shd w:val="clear" w:color="auto" w:fill="FFFFFF"/>
        </w:rPr>
        <w:t>加强生态环境分区管控</w:t>
      </w:r>
      <w:r>
        <w:rPr>
          <w:rFonts w:hint="eastAsia" w:asciiTheme="minorHAnsi" w:hAnsiTheme="minorHAnsi"/>
          <w:bCs/>
          <w:shd w:val="clear" w:color="auto" w:fill="FFFFFF"/>
        </w:rPr>
        <w:t>。</w:t>
      </w:r>
      <w:r>
        <w:rPr>
          <w:rFonts w:hint="eastAsia"/>
        </w:rPr>
        <w:t>生态环境分区管控体系融入国土空间规划布局，将生态环境保护关口前移，强化底线约束，严守生态保护红线、资源利用上线、环境质量底线和生态环境准入清单，引领各区域按照生态环境要素空间差异性特征和资源环境承载力科学布局产业发展。</w:t>
      </w:r>
    </w:p>
    <w:p>
      <w:pPr>
        <w:ind w:firstLine="562"/>
        <w:rPr>
          <w:rFonts w:asciiTheme="minorHAnsi" w:hAnsiTheme="minorHAnsi"/>
          <w:shd w:val="clear" w:color="auto" w:fill="FFFFFF"/>
        </w:rPr>
      </w:pPr>
      <w:r>
        <w:rPr>
          <w:rFonts w:hint="eastAsia" w:asciiTheme="minorHAnsi" w:hAnsiTheme="minorHAnsi"/>
          <w:b/>
          <w:shd w:val="clear" w:color="auto" w:fill="FFFFFF"/>
        </w:rPr>
        <w:t>加强生态保护红线管控</w:t>
      </w:r>
      <w:r>
        <w:rPr>
          <w:rFonts w:hint="eastAsia" w:asciiTheme="minorHAnsi" w:hAnsiTheme="minorHAnsi"/>
          <w:bCs/>
          <w:shd w:val="clear" w:color="auto" w:fill="FFFFFF"/>
        </w:rPr>
        <w:t>。</w:t>
      </w:r>
      <w:r>
        <w:rPr>
          <w:rFonts w:asciiTheme="minorHAnsi" w:hAnsiTheme="minorHAnsi"/>
          <w:shd w:val="clear" w:color="auto" w:fill="FFFFFF"/>
        </w:rPr>
        <w:t>落实生态保护红线、基本农田、城镇开发等空间边界管控，</w:t>
      </w:r>
      <w:r>
        <w:rPr>
          <w:rFonts w:hint="eastAsia" w:asciiTheme="minorHAnsi" w:hAnsiTheme="minorHAnsi"/>
          <w:shd w:val="clear" w:color="auto" w:fill="FFFFFF"/>
        </w:rPr>
        <w:t>减少</w:t>
      </w:r>
      <w:r>
        <w:rPr>
          <w:rFonts w:asciiTheme="minorHAnsi" w:hAnsiTheme="minorHAnsi"/>
          <w:shd w:val="clear" w:color="auto" w:fill="FFFFFF"/>
        </w:rPr>
        <w:t>人类活动对自然空间的占用，</w:t>
      </w:r>
      <w:r>
        <w:rPr>
          <w:rFonts w:hint="eastAsia" w:ascii="仿宋_GB2312"/>
          <w:color w:val="000000"/>
          <w:szCs w:val="32"/>
        </w:rPr>
        <w:t>禁止不符合生态保护红线准入目录的开发项目进入红线区范围，确保生态保护红线面积不减少，功能不降低，</w:t>
      </w:r>
      <w:r>
        <w:rPr>
          <w:rFonts w:asciiTheme="minorHAnsi" w:hAnsiTheme="minorHAnsi"/>
          <w:shd w:val="clear" w:color="auto" w:fill="FFFFFF"/>
        </w:rPr>
        <w:t>守住自然生态安全边界。</w:t>
      </w:r>
      <w:r>
        <w:rPr>
          <w:rFonts w:hint="eastAsia" w:ascii="仿宋_GB2312"/>
          <w:color w:val="000000"/>
          <w:szCs w:val="32"/>
        </w:rPr>
        <w:t>开展生态保护红线基础调查和人类活动遥感监测，及时发现、移交、查处各类生态破坏问题并监督保护修复情况。</w:t>
      </w:r>
      <w:r>
        <w:rPr>
          <w:rFonts w:hint="eastAsia"/>
        </w:rPr>
        <w:t>建立生态保护红线台账系统，制定实施生态保护红线保护与修复方案</w:t>
      </w:r>
      <w:r>
        <w:rPr>
          <w:rFonts w:asciiTheme="minorHAnsi" w:hAnsiTheme="minorHAnsi"/>
          <w:shd w:val="clear" w:color="auto" w:fill="FFFFFF"/>
        </w:rPr>
        <w:t>。</w:t>
      </w:r>
      <w:r>
        <w:rPr>
          <w:rFonts w:hint="eastAsia" w:asciiTheme="minorHAnsi" w:hAnsiTheme="minorHAnsi"/>
          <w:shd w:val="clear" w:color="auto" w:fill="FFFFFF"/>
        </w:rPr>
        <w:t>充分发挥森林、自然保护区、绿道网、湿地、沿海（河）防护林生态综合功能，构建多层次、多功能、立体化、网络式生态安全格局。</w:t>
      </w:r>
    </w:p>
    <w:p>
      <w:pPr>
        <w:ind w:firstLine="562"/>
      </w:pPr>
      <w:r>
        <w:rPr>
          <w:rFonts w:hint="eastAsia" w:asciiTheme="minorHAnsi" w:hAnsiTheme="minorHAnsi"/>
          <w:b/>
          <w:bCs/>
          <w:shd w:val="clear" w:color="auto" w:fill="FFFFFF"/>
        </w:rPr>
        <w:t>共建共保热带雨林国家公园。</w:t>
      </w:r>
      <w:r>
        <w:rPr>
          <w:rFonts w:hint="eastAsia"/>
        </w:rPr>
        <w:t>万宁市南桥镇小南平水库北岸西天岭周边区域涉及海南热</w:t>
      </w:r>
      <w:r>
        <w:t>带雨林国家公园，严格落实生态保护红线管理规定，守住自然生态安全边界，减少人类活动对自然空间的占用，保障国家公园的生态安全和生态环境质量。禁止开发性、生产性建设活动，在符合法律法规前提下，仅允许对生态功能不造成破坏的有限人为活动，保障国家公园的生态完整性。</w:t>
      </w:r>
    </w:p>
    <w:p>
      <w:pPr>
        <w:ind w:firstLine="562"/>
      </w:pPr>
      <w:r>
        <w:rPr>
          <w:rFonts w:hint="eastAsia"/>
          <w:b/>
          <w:bCs/>
        </w:rPr>
        <w:t>推动万泉河流域一体化发展。</w:t>
      </w:r>
      <w:r>
        <w:t>加强</w:t>
      </w:r>
      <w:r>
        <w:rPr>
          <w:rFonts w:hint="eastAsia"/>
        </w:rPr>
        <w:t>万宁</w:t>
      </w:r>
      <w:r>
        <w:t>市域范围内万泉河流域的生态保护与污染防治工作，与琼中、琼海等周边市县建立流域协调保护机制，建立健全万泉河流域生态环境保护补偿机制，推动流域一体化保护利用。强化水环境质量目标管理，明确重点水体的质量改善目标和清单，加强水质监测和预警能力建设，重点监测上下游市县交界处水质。在万泉河流域范围内积极组织植树造林，防止水土流失。鼓励、引导流域内农业、养殖业等产业的生产者综合利用生产废弃物，发展循环经济，实施资源化综合利用。</w:t>
      </w:r>
    </w:p>
    <w:p>
      <w:pPr>
        <w:pStyle w:val="4"/>
      </w:pPr>
      <w:bookmarkStart w:id="57" w:name="_Toc152148723"/>
      <w:r>
        <w:rPr>
          <w:rFonts w:hint="eastAsia"/>
        </w:rPr>
        <w:t>3</w:t>
      </w:r>
      <w:r>
        <w:t xml:space="preserve">.3.3 </w:t>
      </w:r>
      <w:r>
        <w:rPr>
          <w:rFonts w:hint="eastAsia"/>
        </w:rPr>
        <w:t>优化资源保护与利用</w:t>
      </w:r>
      <w:bookmarkEnd w:id="57"/>
    </w:p>
    <w:p>
      <w:pPr>
        <w:ind w:firstLine="562"/>
        <w:rPr>
          <w:shd w:val="clear" w:color="auto" w:fill="FFFFFF"/>
        </w:rPr>
      </w:pPr>
      <w:r>
        <w:rPr>
          <w:rFonts w:hint="eastAsia"/>
          <w:b/>
          <w:bCs/>
          <w:shd w:val="clear" w:color="auto" w:fill="FFFFFF"/>
        </w:rPr>
        <w:t>自然保护地保护和利用。</w:t>
      </w:r>
      <w:r>
        <w:rPr>
          <w:rFonts w:hint="eastAsia"/>
          <w:shd w:val="clear" w:color="auto" w:fill="FFFFFF"/>
        </w:rPr>
        <w:t>构建以海南热带雨林国家公园为主体，海南大洲岛海洋生态国家级自然保护区、海南礼纪青皮林自然保护区、海南六连岭省级自然保护区、海南尖岭省级自然保护区、海南上溪省级自然保护区、海南南林省级自然保护区和海南茄新省级自然保护区等</w:t>
      </w:r>
      <w:r>
        <w:rPr>
          <w:shd w:val="clear" w:color="auto" w:fill="FFFFFF"/>
        </w:rPr>
        <w:t>7</w:t>
      </w:r>
      <w:r>
        <w:rPr>
          <w:rFonts w:hint="eastAsia"/>
          <w:shd w:val="clear" w:color="auto" w:fill="FFFFFF"/>
        </w:rPr>
        <w:t>个自然保护区为基础的自然保护地体系，为推动人与自然和谐共生、保护生物多样性发挥重要作用。</w:t>
      </w:r>
      <w:r>
        <w:rPr>
          <w:rFonts w:hint="eastAsia" w:ascii="仿宋_GB2312"/>
          <w:color w:val="000000"/>
          <w:szCs w:val="32"/>
        </w:rPr>
        <w:t>依托全省自然保护地调整优化工作，加快整合归并优化</w:t>
      </w:r>
      <w:r>
        <w:rPr>
          <w:rFonts w:hint="eastAsia" w:ascii="仿宋_GB2312" w:hAnsi="等线"/>
          <w:color w:val="000000"/>
          <w:szCs w:val="32"/>
        </w:rPr>
        <w:t>青皮林</w:t>
      </w:r>
      <w:r>
        <w:rPr>
          <w:rFonts w:hint="eastAsia" w:ascii="仿宋_GB2312"/>
          <w:color w:val="000000"/>
          <w:szCs w:val="32"/>
        </w:rPr>
        <w:t>等各类自然保护地，科学划定自然保护地类型范围，构建系统完善的自然保护地体系。加强自然保护地监管，严格管控自然保护地范围内人类活动，推进核心保护区内居民、耕地、矿权有序退出</w:t>
      </w:r>
      <w:r>
        <w:rPr>
          <w:rFonts w:hint="eastAsia" w:asciiTheme="minorHAnsi" w:hAnsiTheme="minorHAnsi"/>
          <w:shd w:val="clear" w:color="auto" w:fill="FFFFFF"/>
        </w:rPr>
        <w:t>，加强自然保护地生态环境执法，严肃查处破坏生态环境违法行为。</w:t>
      </w:r>
    </w:p>
    <w:p>
      <w:pPr>
        <w:ind w:firstLine="562"/>
      </w:pPr>
      <w:r>
        <w:rPr>
          <w:rFonts w:hint="eastAsia"/>
          <w:b/>
          <w:bCs/>
        </w:rPr>
        <w:t>水资源保护与利用</w:t>
      </w:r>
      <w:r>
        <w:rPr>
          <w:rFonts w:hint="eastAsia"/>
        </w:rPr>
        <w:t>。以“优先配置本地地表水，积极推进外调水，加大回用再生水”为原则</w:t>
      </w:r>
      <w:r>
        <w:rPr>
          <w:rFonts w:hint="eastAsia"/>
          <w:sz w:val="32"/>
          <w:szCs w:val="32"/>
        </w:rPr>
        <w:t>，</w:t>
      </w:r>
      <w:r>
        <w:rPr>
          <w:rFonts w:hint="eastAsia"/>
        </w:rPr>
        <w:t>优化河湖水系格局，严格保护太阳河、龙尾河、龙首河、龙滚河及南桥水5条主要河流和三更罗水、礼纪河2条二级支流以及48宗水库，确保生态底线安全。</w:t>
      </w:r>
    </w:p>
    <w:p>
      <w:pPr>
        <w:ind w:firstLine="562"/>
        <w:rPr>
          <w:b/>
          <w:bCs/>
        </w:rPr>
      </w:pPr>
      <w:r>
        <w:rPr>
          <w:rFonts w:hint="eastAsia"/>
          <w:b/>
          <w:bCs/>
        </w:rPr>
        <w:t>耕地资源保护与利用。</w:t>
      </w:r>
      <w:r>
        <w:rPr>
          <w:rFonts w:hint="eastAsia"/>
        </w:rPr>
        <w:t>坚持最严格的耕地保护制度，完善耕地占补平衡制度，建立耕地进出平衡制度，加强耕地数量、质量、生态“三位一体”保护，落实耕地保有量指标，保障粮食安全。</w:t>
      </w:r>
    </w:p>
    <w:p>
      <w:pPr>
        <w:ind w:firstLine="562"/>
      </w:pPr>
      <w:r>
        <w:rPr>
          <w:rFonts w:hint="eastAsia"/>
          <w:b/>
          <w:bCs/>
        </w:rPr>
        <w:t>矿产资源保护与利用。</w:t>
      </w:r>
      <w:r>
        <w:rPr>
          <w:rFonts w:hint="eastAsia"/>
        </w:rPr>
        <w:t>坚持生态保护优先，统筹协调钛、锆、独居石、金红石、石英石等矿产资源开发利用与生态保护，促进矿产资源综合利用水平提升。</w:t>
      </w:r>
    </w:p>
    <w:p>
      <w:pPr>
        <w:ind w:firstLine="562"/>
      </w:pPr>
      <w:r>
        <w:rPr>
          <w:rFonts w:hint="eastAsia"/>
          <w:b/>
          <w:bCs/>
        </w:rPr>
        <w:t>海洋资源保护与利用。</w:t>
      </w:r>
      <w:r>
        <w:rPr>
          <w:rFonts w:hint="eastAsia"/>
        </w:rPr>
        <w:t>划定海洋开发利用空间及海洋生态空间，对近岸海域开发保护功能进行引导，加强对海岸线资源的分类管控，以保护为核心，合理利用海岛资源。</w:t>
      </w:r>
    </w:p>
    <w:p>
      <w:pPr>
        <w:pStyle w:val="4"/>
      </w:pPr>
      <w:bookmarkStart w:id="58" w:name="_Toc152148724"/>
      <w:r>
        <w:rPr>
          <w:rFonts w:hint="eastAsia"/>
        </w:rPr>
        <w:t>3</w:t>
      </w:r>
      <w:r>
        <w:t xml:space="preserve">.3.4 </w:t>
      </w:r>
      <w:r>
        <w:rPr>
          <w:rFonts w:hint="eastAsia"/>
        </w:rPr>
        <w:t>构建区域协调发展国土空间新格局</w:t>
      </w:r>
      <w:bookmarkEnd w:id="58"/>
    </w:p>
    <w:p>
      <w:pPr>
        <w:ind w:firstLine="562"/>
      </w:pPr>
      <w:r>
        <w:rPr>
          <w:rFonts w:hint="eastAsia"/>
          <w:b/>
          <w:bCs/>
        </w:rPr>
        <w:t>构建国土空间总体开发保护格局。</w:t>
      </w:r>
      <w:r>
        <w:rPr>
          <w:rFonts w:hint="eastAsia"/>
        </w:rPr>
        <w:t>构建“一核一带五廊、一轴双心三区”的总体格局。“一核”指包括海南热带雨林国家公园（万宁境内）、海南南林省级自然保护区、海南上溪省级自然保护区、海南礼记青皮林自然保护区、海南茄新青皮林自然保护区等构成的生态核心；“一带”指海洋生态保护带；“五廊”指龙滚河、太阳河、龙首河、龙尾河、东山河等五条自西向东贯穿市域的山海生态廊道。“一轴”指以环岛高速公路、环岛高铁、海榆东线公路和环岛旅游公路为主的纵向空间发展轴，并通过空间发展轴带动滨海各产业组团，打造海洋产业发展带；“双心”指中心城区、城市副中心（兴隆华侨旅游经济区）；“三区”指环小海城镇及产业综合发展区、大兴隆山海旅游发展区和龙滚--山根湾--山钦湾发展区等三个城镇发展区。</w:t>
      </w:r>
    </w:p>
    <w:p>
      <w:pPr>
        <w:ind w:firstLine="562"/>
      </w:pPr>
      <w:r>
        <w:rPr>
          <w:rFonts w:hint="eastAsia"/>
          <w:b/>
          <w:bCs/>
        </w:rPr>
        <w:t>构建重点生态功能区格局。</w:t>
      </w:r>
      <w:r>
        <w:t>构建</w:t>
      </w:r>
      <w:r>
        <w:rPr>
          <w:rFonts w:hint="eastAsia"/>
        </w:rPr>
        <w:t>“</w:t>
      </w:r>
      <w:r>
        <w:t>三园五区五河、环山抱田望海</w:t>
      </w:r>
      <w:r>
        <w:rPr>
          <w:rFonts w:hint="eastAsia"/>
        </w:rPr>
        <w:t>”</w:t>
      </w:r>
      <w:r>
        <w:t>的重点生态功能区格局。</w:t>
      </w:r>
      <w:r>
        <w:rPr>
          <w:rFonts w:hint="eastAsia"/>
        </w:rPr>
        <w:t>“</w:t>
      </w:r>
      <w:r>
        <w:t>三园</w:t>
      </w:r>
      <w:r>
        <w:rPr>
          <w:rFonts w:hint="eastAsia"/>
        </w:rPr>
        <w:t>”</w:t>
      </w:r>
      <w:r>
        <w:t>包括海南热带雨林国家公园</w:t>
      </w:r>
      <w:r>
        <w:rPr>
          <w:rFonts w:hint="eastAsia"/>
        </w:rPr>
        <w:t>、</w:t>
      </w:r>
      <w:r>
        <w:t>海南兴隆侨乡国家级森林公园</w:t>
      </w:r>
      <w:r>
        <w:rPr>
          <w:rFonts w:hint="eastAsia"/>
        </w:rPr>
        <w:t>和</w:t>
      </w:r>
      <w:r>
        <w:t>海南老爷海国家级海洋公园。</w:t>
      </w:r>
      <w:r>
        <w:rPr>
          <w:rFonts w:hint="eastAsia"/>
        </w:rPr>
        <w:t>“</w:t>
      </w:r>
      <w:r>
        <w:t>五区</w:t>
      </w:r>
      <w:r>
        <w:rPr>
          <w:rFonts w:hint="eastAsia"/>
        </w:rPr>
        <w:t>”</w:t>
      </w:r>
      <w:r>
        <w:t>包括</w:t>
      </w:r>
      <w:r>
        <w:rPr>
          <w:rFonts w:hint="eastAsia"/>
          <w:shd w:val="clear" w:color="auto" w:fill="FFFFFF"/>
        </w:rPr>
        <w:t>海南大洲岛海洋生态国家级自然保护区</w:t>
      </w:r>
      <w:r>
        <w:rPr>
          <w:rFonts w:hint="eastAsia"/>
        </w:rPr>
        <w:t>、海南</w:t>
      </w:r>
      <w:r>
        <w:t>六连岭省级自然保护区、</w:t>
      </w:r>
      <w:r>
        <w:rPr>
          <w:rFonts w:hint="eastAsia"/>
        </w:rPr>
        <w:t>海南南林</w:t>
      </w:r>
      <w:r>
        <w:t>省级自然保护区、</w:t>
      </w:r>
      <w:r>
        <w:rPr>
          <w:rFonts w:hint="eastAsia"/>
        </w:rPr>
        <w:t>海南尖岭</w:t>
      </w:r>
      <w:r>
        <w:t>省级自然保护区、</w:t>
      </w:r>
      <w:r>
        <w:rPr>
          <w:rFonts w:hint="eastAsia"/>
        </w:rPr>
        <w:t>海南礼记</w:t>
      </w:r>
      <w:r>
        <w:t>青皮林省级自然保护区。</w:t>
      </w:r>
      <w:r>
        <w:rPr>
          <w:rFonts w:hint="eastAsia"/>
        </w:rPr>
        <w:t>“五河”</w:t>
      </w:r>
      <w:r>
        <w:t>指龙滚河、龙首河、龙尾河、太阳河、南桥水等五条河流。全市形成西北环山，中部抱田，东南望小海、老爷海、南海的生态格局。</w:t>
      </w:r>
    </w:p>
    <w:p>
      <w:pPr>
        <w:ind w:firstLine="562"/>
      </w:pPr>
      <w:r>
        <w:rPr>
          <w:rFonts w:hint="eastAsia"/>
          <w:b/>
          <w:bCs/>
        </w:rPr>
        <w:t>区域生态文明建设一体化。</w:t>
      </w:r>
      <w:r>
        <w:rPr>
          <w:rFonts w:hint="eastAsia"/>
        </w:rPr>
        <w:t>践行绿水青山就是金山银山理念，充分发挥万宁西部优越的自然生态环境，积极融入海南热带雨林国家公园，与中部市县协调配合共建生态保育区，共同维护和提升生态系统功能，加强水源涵养与水土保持，并结合自身资源特色开展生态旅游、探秘幽境、特色民宿、红色旅游等功能。</w:t>
      </w:r>
    </w:p>
    <w:p>
      <w:pPr>
        <w:ind w:firstLine="562"/>
      </w:pPr>
      <w:r>
        <w:rPr>
          <w:rFonts w:hint="eastAsia"/>
          <w:b/>
          <w:bCs/>
        </w:rPr>
        <w:t>区域基础设施及公共服务设施一体化。</w:t>
      </w:r>
      <w:r>
        <w:rPr>
          <w:rFonts w:hint="eastAsia"/>
        </w:rPr>
        <w:t>区域供水。强化骨干水源工程互连互通，开展牛路岭灌区工程，推动规模化集中供水，建设集约高效的区域供水系统。污水、垃圾处理等邻避设施建设</w:t>
      </w:r>
      <w:r>
        <w:t>。</w:t>
      </w:r>
      <w:r>
        <w:rPr>
          <w:rFonts w:hint="eastAsia"/>
        </w:rPr>
        <w:t>扩建主城区1</w:t>
      </w:r>
      <w:r>
        <w:t>#</w:t>
      </w:r>
      <w:r>
        <w:rPr>
          <w:rFonts w:hint="eastAsia"/>
        </w:rPr>
        <w:t>污水处理厂和兴隆旅游区2</w:t>
      </w:r>
      <w:r>
        <w:t>#</w:t>
      </w:r>
      <w:r>
        <w:rPr>
          <w:rFonts w:hint="eastAsia"/>
        </w:rPr>
        <w:t>污水处理厂，优化礼记镇污水处理厂，新建山根镇、三更罗镇、南桥镇和乌场等污水处理设施，实现区域污水处理基础设施共建共享：按照海南省生活垃圾焚烧处置整体方案布局，将万宁市产生的生活垃圾按照运距分别纳入琼海市生活垃圾焚烧发电厂、陵水县生活垃圾焚烧发电厂服务范围，实现生活垃圾末端处置区域协同。建设有机废弃物资源化利用厂、建筑垃圾资源化利用厂等设施，提升垃圾资源化利用效率。</w:t>
      </w:r>
    </w:p>
    <w:p>
      <w:pPr>
        <w:widowControl/>
        <w:adjustRightInd/>
        <w:snapToGrid/>
        <w:spacing w:line="240" w:lineRule="auto"/>
        <w:ind w:firstLine="0" w:firstLineChars="0"/>
        <w:jc w:val="left"/>
      </w:pPr>
      <w:r>
        <w:br w:type="page"/>
      </w:r>
    </w:p>
    <w:p>
      <w:pPr>
        <w:pStyle w:val="3"/>
      </w:pPr>
      <w:bookmarkStart w:id="59" w:name="_Toc152148725"/>
      <w:r>
        <w:rPr>
          <w:rFonts w:hint="eastAsia"/>
        </w:rPr>
        <w:t>3</w:t>
      </w:r>
      <w:r>
        <w:t xml:space="preserve">.4 </w:t>
      </w:r>
      <w:r>
        <w:rPr>
          <w:rFonts w:hint="eastAsia"/>
        </w:rPr>
        <w:t>立足国际自贸港，推进经济绿色转型</w:t>
      </w:r>
      <w:bookmarkEnd w:id="59"/>
    </w:p>
    <w:p>
      <w:pPr>
        <w:pStyle w:val="4"/>
      </w:pPr>
      <w:bookmarkStart w:id="60" w:name="_Toc152148726"/>
      <w:r>
        <w:rPr>
          <w:rFonts w:hint="eastAsia"/>
        </w:rPr>
        <w:t>3</w:t>
      </w:r>
      <w:r>
        <w:t xml:space="preserve">.4.1 </w:t>
      </w:r>
      <w:r>
        <w:rPr>
          <w:rFonts w:hint="eastAsia"/>
        </w:rPr>
        <w:t>构建自贸港特色生态产业布局</w:t>
      </w:r>
      <w:bookmarkEnd w:id="60"/>
    </w:p>
    <w:p>
      <w:pPr>
        <w:ind w:firstLine="562"/>
      </w:pPr>
      <w:r>
        <w:rPr>
          <w:rFonts w:hint="eastAsia"/>
          <w:b/>
          <w:bCs/>
        </w:rPr>
        <w:t>总体构建“三区、多点”的产业空间布局。</w:t>
      </w:r>
      <w:r>
        <w:rPr>
          <w:rFonts w:hint="eastAsia"/>
        </w:rPr>
        <w:t>三区指环小海产业区、大兴隆产业区和山根湾</w:t>
      </w:r>
      <w:r>
        <w:t>-</w:t>
      </w:r>
      <w:r>
        <w:rPr>
          <w:rFonts w:hint="eastAsia"/>
        </w:rPr>
        <w:t>山钦湾产业区。其中环小海产业区重点突出中心城区及乌场港在现代服务、综合消费、文化娱乐、清洁能源、海洋休闲渔业等战略产业导入；大兴隆产业区重视旅游消费、文化旅游、度假康养等产业和项目导入，强化服务设施建设，全面升级旅游接待和服务品质；山根湾</w:t>
      </w:r>
      <w:r>
        <w:t>-</w:t>
      </w:r>
      <w:r>
        <w:rPr>
          <w:rFonts w:hint="eastAsia"/>
        </w:rPr>
        <w:t>山钦湾产业区鼓励发展文化交往、康养度假、时尚运动等核心产品，与博鳌、乐城形成功能互补的产业片区。多点主要包括万宁绿色制造综合产业园（含原槟榔城及后安工业园）、礼纪工业园等产业节点。</w:t>
      </w:r>
    </w:p>
    <w:p>
      <w:pPr>
        <w:ind w:firstLine="562"/>
      </w:pPr>
      <w:r>
        <w:rPr>
          <w:rFonts w:hint="eastAsia"/>
          <w:b/>
          <w:bCs/>
        </w:rPr>
        <w:t>推动产业园区绿色高质量发展。</w:t>
      </w:r>
      <w:r>
        <w:rPr>
          <w:rFonts w:hint="eastAsia"/>
        </w:rPr>
        <w:t>加快推进日月湾冲浪小镇、石梅湾-神州半岛旅游区、乌场海洋经济区、工厂化水产养殖园区尽快形成规模；推进槟榔产业园、礼纪新型工业产业园做大做强；推进兴隆健康旅游产业园、山钦湾旅游度假区加快发展，把园区打造成为承接产业项目落地、实现高质量发展的主阵地。加快产业园区环境基础设施建设，加强对园区污水处理设施、管网建设及企业接管情况检查，加大问题整改力度，提升产业园区污水集中处理效能，大力开展园区节能降耗工作，打造生态产业园区。</w:t>
      </w:r>
    </w:p>
    <w:p>
      <w:pPr>
        <w:pStyle w:val="4"/>
      </w:pPr>
      <w:bookmarkStart w:id="61" w:name="_Toc152148727"/>
      <w:r>
        <w:t xml:space="preserve">3.4.2 </w:t>
      </w:r>
      <w:r>
        <w:rPr>
          <w:rFonts w:hint="eastAsia"/>
        </w:rPr>
        <w:t>调整主产业结构，优化多产业体系</w:t>
      </w:r>
      <w:bookmarkEnd w:id="61"/>
    </w:p>
    <w:p>
      <w:pPr>
        <w:pStyle w:val="5"/>
      </w:pPr>
      <w:r>
        <w:t xml:space="preserve">3.4.2.1 </w:t>
      </w:r>
      <w:r>
        <w:rPr>
          <w:rFonts w:hint="eastAsia"/>
        </w:rPr>
        <w:t>加强项目环境准入管理</w:t>
      </w:r>
    </w:p>
    <w:p>
      <w:pPr>
        <w:ind w:firstLine="560"/>
        <w:rPr>
          <w:rFonts w:asciiTheme="minorHAnsi" w:hAnsiTheme="minorHAnsi"/>
          <w:shd w:val="clear" w:color="auto" w:fill="FFFFFF"/>
        </w:rPr>
      </w:pPr>
      <w:r>
        <w:rPr>
          <w:rFonts w:hint="eastAsia"/>
        </w:rPr>
        <w:t>立足万宁市自然资源环境承载能力，强化“三线一单”在调整产业结构、规划产业发展、推进城镇化、环境监管执法等方面的</w:t>
      </w:r>
      <w:r>
        <w:rPr>
          <w:rFonts w:hint="eastAsia" w:asciiTheme="minorHAnsi" w:hAnsiTheme="minorHAnsi"/>
          <w:shd w:val="clear" w:color="auto" w:fill="FFFFFF"/>
        </w:rPr>
        <w:t>应用，</w:t>
      </w:r>
      <w:r>
        <w:rPr>
          <w:rFonts w:asciiTheme="minorHAnsi" w:hAnsiTheme="minorHAnsi"/>
          <w:shd w:val="clear" w:color="auto" w:fill="FFFFFF"/>
        </w:rPr>
        <w:t>推动形成与</w:t>
      </w:r>
      <w:r>
        <w:rPr>
          <w:rFonts w:hint="eastAsia" w:asciiTheme="minorHAnsi" w:hAnsiTheme="minorHAnsi"/>
          <w:shd w:val="clear" w:color="auto" w:fill="FFFFFF"/>
        </w:rPr>
        <w:t>环境分区管控</w:t>
      </w:r>
      <w:r>
        <w:rPr>
          <w:rFonts w:asciiTheme="minorHAnsi" w:hAnsiTheme="minorHAnsi"/>
          <w:shd w:val="clear" w:color="auto" w:fill="FFFFFF"/>
        </w:rPr>
        <w:t>相适应的产业空间布局</w:t>
      </w:r>
      <w:r>
        <w:rPr>
          <w:rFonts w:hint="eastAsia" w:asciiTheme="minorHAnsi" w:hAnsiTheme="minorHAnsi"/>
          <w:shd w:val="clear" w:color="auto" w:fill="FFFFFF"/>
        </w:rPr>
        <w:t>。</w:t>
      </w:r>
      <w:r>
        <w:rPr>
          <w:rFonts w:hint="eastAsia" w:cs="楷体"/>
          <w:bCs/>
        </w:rPr>
        <w:t>严格实行环境准入。</w:t>
      </w:r>
      <w:r>
        <w:rPr>
          <w:rFonts w:hint="eastAsia" w:cs="楷体"/>
        </w:rPr>
        <w:t>加强绿色产业发展政策引导与支持，执行绿色产业发展准入标准。建立以保护优先、绿色发展为导向的经济和社会发展考核评价体系，将资源消耗、环境损害和生态效益纳入经济社会发展评价体系。</w:t>
      </w:r>
      <w:r>
        <w:rPr>
          <w:rFonts w:hint="eastAsia" w:hAnsi="黑体"/>
          <w:color w:val="000000"/>
        </w:rPr>
        <w:t>在确保能源与产业链安全的前提下，坚决遏制“两高”项目发展，合理控制产能规模。</w:t>
      </w:r>
    </w:p>
    <w:p>
      <w:pPr>
        <w:pStyle w:val="5"/>
      </w:pPr>
      <w:r>
        <w:t xml:space="preserve">3.4.2.2 </w:t>
      </w:r>
      <w:r>
        <w:rPr>
          <w:rFonts w:hint="eastAsia"/>
        </w:rPr>
        <w:t>构建现代生态产业体系</w:t>
      </w:r>
    </w:p>
    <w:p>
      <w:pPr>
        <w:ind w:firstLine="562"/>
      </w:pPr>
      <w:r>
        <w:rPr>
          <w:rFonts w:hint="eastAsia"/>
          <w:b/>
          <w:bCs/>
        </w:rPr>
        <w:t>优化产业结构。</w:t>
      </w:r>
      <w:r>
        <w:rPr>
          <w:rFonts w:hint="eastAsia"/>
        </w:rPr>
        <w:t>加快调整主产业结构，积极优化多产业布局，逐渐淘汰能源消耗型、污染性高等传统产业；加强技术改造，强化绿色发展，坚持低碳生产、利用新能源等环保发展理念，鼓励和引导传统产业转型和升级。以特色产业园区为载体，加速产业和项目集聚，持续推进工业企业入园。</w:t>
      </w:r>
    </w:p>
    <w:p>
      <w:pPr>
        <w:ind w:firstLine="562"/>
      </w:pPr>
      <w:r>
        <w:rPr>
          <w:rFonts w:hint="eastAsia"/>
          <w:b/>
          <w:bCs/>
        </w:rPr>
        <w:t>打造热带高效生态农业</w:t>
      </w:r>
      <w:r>
        <w:rPr>
          <w:rFonts w:hint="eastAsia"/>
        </w:rPr>
        <w:t>。</w:t>
      </w:r>
      <w:r>
        <w:rPr>
          <w:rFonts w:hint="eastAsia" w:asciiTheme="minorHAnsi" w:hAnsiTheme="minorHAnsi"/>
          <w:shd w:val="clear" w:color="auto" w:fill="FFFFFF"/>
        </w:rPr>
        <w:t>突出万宁特色抓好槟榔、橡胶、椰子“三棵树”产业发展，大力</w:t>
      </w:r>
      <w:r>
        <w:rPr>
          <w:rFonts w:hint="eastAsia"/>
        </w:rPr>
        <w:t>发展沉香（海南“第四棵树”）产业</w:t>
      </w:r>
      <w:r>
        <w:rPr>
          <w:rFonts w:hint="eastAsia" w:asciiTheme="minorHAnsi" w:hAnsiTheme="minorHAnsi"/>
          <w:shd w:val="clear" w:color="auto" w:fill="FFFFFF"/>
        </w:rPr>
        <w:t>。</w:t>
      </w:r>
      <w:r>
        <w:rPr>
          <w:rFonts w:hint="eastAsia"/>
        </w:rPr>
        <w:t>推进投入品减量化、生产清洁化、产品品牌化、废弃物资源化、产业模式生态化的发展模式，重点打造诺丽果、咖啡、东山羊等特色农产品，推动种植业养殖业向规模化现代化发展、食品加工业向精细化功能化发展、服务业向农产品商贸农旅融合发展，建设热带农业现代化示范区。</w:t>
      </w:r>
    </w:p>
    <w:p>
      <w:pPr>
        <w:ind w:firstLine="562"/>
      </w:pPr>
      <w:r>
        <w:rPr>
          <w:rFonts w:hint="eastAsia"/>
          <w:b/>
          <w:bCs/>
        </w:rPr>
        <w:t>着力提升工业经济发展质效。</w:t>
      </w:r>
      <w:r>
        <w:rPr>
          <w:rFonts w:hint="eastAsia"/>
        </w:rPr>
        <w:t>围绕建链延链补链强链，一手抓现有产业改造升级，一手抓新兴产业培育，在做好生态环境保护前提下发展绿色建材、高端装备制造、运动装备、消费品制造、燃气发电、海上风电等产业，打造新型工业百亿级产业集群。强化重大项目建设，确保海力装配式生产基地等一批重大项目竣工投产，谋划乌场春园湾海上装备码头建设。发展绿色建材产业，完善建材仓储物流，打造海南东部建材基地。加快推进体育运动装备加工制造、数字小镇、智能制造工业互联网产业示范基地等项目落地建设，构筑工业新的增长点。</w:t>
      </w:r>
    </w:p>
    <w:p>
      <w:pPr>
        <w:ind w:firstLine="562"/>
      </w:pPr>
      <w:r>
        <w:rPr>
          <w:rFonts w:hint="eastAsia" w:asciiTheme="minorHAnsi" w:hAnsiTheme="minorHAnsi"/>
          <w:b/>
          <w:bCs/>
          <w:shd w:val="clear" w:color="auto" w:fill="FFFFFF"/>
        </w:rPr>
        <w:t>构建文旅产业高质量新格局。</w:t>
      </w:r>
      <w:r>
        <w:rPr>
          <w:rFonts w:hint="eastAsia"/>
        </w:rPr>
        <w:t>全力推动国家全域旅游示范区和体育旅游示范区建设，围绕“一湾一品”完善石梅湾、日月湾和神州半岛的旅游基础设施，突出抓好日月湾冲浪、石梅湾潜水、神州半岛摩托艇和帆船帆板等业态开发，加快日月湾国家冲浪训练基地改造、冲浪学校等重点项目建设，引入一批高水平和有较大影响力体育赛事和文化演艺活动，做大做强王府井国际免税港，打造“体育+旅游+文化+消费”融合发展的全省新标杆。加快日月逐浪驿站建设，启动山钦蓝梦驿站建设。实施兴隆大健康+旅游发展战略，引进一批康养、医药研发项目，加快植物园升级改造，盘活兴隆演艺产业，实现兴隆与石梅湾、日月湾和神州半岛“山海互动”。挖掘红色文化、海洋文化、黎苗文化、东山文化、民俗文化内涵，发展多样性文化体验游。</w:t>
      </w:r>
    </w:p>
    <w:p>
      <w:pPr>
        <w:ind w:firstLine="562"/>
        <w:rPr>
          <w:rFonts w:asciiTheme="minorHAnsi" w:hAnsiTheme="minorHAnsi"/>
          <w:shd w:val="clear" w:color="auto" w:fill="FFFFFF"/>
        </w:rPr>
      </w:pPr>
      <w:r>
        <w:rPr>
          <w:rFonts w:hint="eastAsia" w:asciiTheme="minorHAnsi" w:hAnsiTheme="minorHAnsi"/>
          <w:b/>
          <w:bCs/>
          <w:shd w:val="clear" w:color="auto" w:fill="FFFFFF"/>
        </w:rPr>
        <w:t>打造“</w:t>
      </w:r>
      <w:r>
        <w:rPr>
          <w:rFonts w:asciiTheme="minorHAnsi" w:hAnsiTheme="minorHAnsi"/>
          <w:b/>
          <w:bCs/>
          <w:shd w:val="clear" w:color="auto" w:fill="FFFFFF"/>
        </w:rPr>
        <w:t>蓝色引擎</w:t>
      </w:r>
      <w:r>
        <w:rPr>
          <w:rFonts w:hint="eastAsia" w:asciiTheme="minorHAnsi" w:hAnsiTheme="minorHAnsi"/>
          <w:b/>
          <w:bCs/>
          <w:shd w:val="clear" w:color="auto" w:fill="FFFFFF"/>
        </w:rPr>
        <w:t>”</w:t>
      </w:r>
      <w:r>
        <w:rPr>
          <w:rFonts w:hint="eastAsia" w:asciiTheme="minorHAnsi" w:hAnsiTheme="minorHAnsi"/>
          <w:shd w:val="clear" w:color="auto" w:fill="FFFFFF"/>
        </w:rPr>
        <w:t>。以近海养殖为重点，对小海、老爷海等近海水产养殖开展标准化改造，</w:t>
      </w:r>
      <w:r>
        <w:rPr>
          <w:rFonts w:asciiTheme="minorHAnsi" w:hAnsiTheme="minorHAnsi"/>
          <w:shd w:val="clear" w:color="auto" w:fill="FFFFFF"/>
        </w:rPr>
        <w:t>推进生态养殖</w:t>
      </w:r>
      <w:r>
        <w:rPr>
          <w:rFonts w:hint="eastAsia" w:asciiTheme="minorHAnsi" w:hAnsiTheme="minorHAnsi"/>
          <w:shd w:val="clear" w:color="auto" w:fill="FFFFFF"/>
        </w:rPr>
        <w:t>。</w:t>
      </w:r>
      <w:r>
        <w:rPr>
          <w:rFonts w:asciiTheme="minorHAnsi" w:hAnsiTheme="minorHAnsi"/>
          <w:shd w:val="clear" w:color="auto" w:fill="FFFFFF"/>
        </w:rPr>
        <w:t>把握未来产业与海洋深度融合的重大战略机遇，拓展海洋发展空间</w:t>
      </w:r>
      <w:r>
        <w:rPr>
          <w:rFonts w:hint="eastAsia" w:asciiTheme="minorHAnsi" w:hAnsiTheme="minorHAnsi"/>
          <w:shd w:val="clear" w:color="auto" w:fill="FFFFFF"/>
        </w:rPr>
        <w:t>，加快传统海洋养殖捕捞业向蓝色海洋生态经济转型升级</w:t>
      </w:r>
      <w:r>
        <w:rPr>
          <w:rFonts w:asciiTheme="minorHAnsi" w:hAnsiTheme="minorHAnsi"/>
          <w:shd w:val="clear" w:color="auto" w:fill="FFFFFF"/>
        </w:rPr>
        <w:t>，</w:t>
      </w:r>
      <w:r>
        <w:rPr>
          <w:rFonts w:hint="eastAsia" w:ascii="仿宋_GB2312" w:hAnsiTheme="minorHAnsi"/>
          <w:shd w:val="clear" w:color="auto" w:fill="FFFFFF"/>
        </w:rPr>
        <w:t>加强港口航运企业、海洋渔业产业招商引资，</w:t>
      </w:r>
      <w:r>
        <w:rPr>
          <w:rFonts w:hint="eastAsia" w:asciiTheme="minorHAnsi" w:hAnsiTheme="minorHAnsi"/>
          <w:shd w:val="clear" w:color="auto" w:fill="FFFFFF"/>
        </w:rPr>
        <w:t>重点打造生态型乌场港产业园区，</w:t>
      </w:r>
      <w:r>
        <w:rPr>
          <w:rFonts w:asciiTheme="minorHAnsi" w:hAnsiTheme="minorHAnsi"/>
          <w:shd w:val="clear" w:color="auto" w:fill="FFFFFF"/>
        </w:rPr>
        <w:t>构建</w:t>
      </w:r>
      <w:r>
        <w:rPr>
          <w:rFonts w:hint="eastAsia"/>
        </w:rPr>
        <w:t>包括</w:t>
      </w:r>
      <w:r>
        <w:rPr>
          <w:rFonts w:hint="eastAsia" w:ascii="仿宋_GB2312"/>
        </w:rPr>
        <w:t>港航服务、冷链仓储、水产交易、水产加工、海上旅游、休闲渔业等</w:t>
      </w:r>
      <w:r>
        <w:rPr>
          <w:rFonts w:asciiTheme="minorHAnsi" w:hAnsiTheme="minorHAnsi"/>
          <w:shd w:val="clear" w:color="auto" w:fill="FFFFFF"/>
        </w:rPr>
        <w:t>现代化海洋产业体系</w:t>
      </w:r>
      <w:r>
        <w:rPr>
          <w:rFonts w:hint="eastAsia" w:ascii="仿宋_GB2312"/>
        </w:rPr>
        <w:t>，为万宁市经济社会发展</w:t>
      </w:r>
      <w:r>
        <w:rPr>
          <w:rFonts w:asciiTheme="minorHAnsi" w:hAnsiTheme="minorHAnsi"/>
          <w:shd w:val="clear" w:color="auto" w:fill="FFFFFF"/>
        </w:rPr>
        <w:t>注入</w:t>
      </w:r>
      <w:r>
        <w:rPr>
          <w:rFonts w:hint="eastAsia" w:asciiTheme="minorHAnsi" w:hAnsiTheme="minorHAnsi"/>
          <w:shd w:val="clear" w:color="auto" w:fill="FFFFFF"/>
        </w:rPr>
        <w:t>“</w:t>
      </w:r>
      <w:r>
        <w:rPr>
          <w:rFonts w:asciiTheme="minorHAnsi" w:hAnsiTheme="minorHAnsi"/>
          <w:shd w:val="clear" w:color="auto" w:fill="FFFFFF"/>
        </w:rPr>
        <w:t>蓝色活力</w:t>
      </w:r>
      <w:r>
        <w:rPr>
          <w:rFonts w:hint="eastAsia" w:asciiTheme="minorHAnsi" w:hAnsiTheme="minorHAnsi"/>
          <w:shd w:val="clear" w:color="auto" w:fill="FFFFFF"/>
        </w:rPr>
        <w:t>”，</w:t>
      </w:r>
      <w:r>
        <w:rPr>
          <w:rFonts w:hint="eastAsia" w:ascii="仿宋_GB2312" w:hAnsiTheme="minorHAnsi"/>
          <w:shd w:val="clear" w:color="auto" w:fill="FFFFFF"/>
        </w:rPr>
        <w:t>促进海洋安全、健康和可持续发展</w:t>
      </w:r>
      <w:r>
        <w:rPr>
          <w:rFonts w:hint="eastAsia" w:asciiTheme="minorHAnsi" w:hAnsiTheme="minorHAnsi"/>
          <w:shd w:val="clear" w:color="auto" w:fill="FFFFFF"/>
        </w:rPr>
        <w:t>。</w:t>
      </w:r>
    </w:p>
    <w:p>
      <w:pPr>
        <w:pStyle w:val="5"/>
      </w:pPr>
      <w:r>
        <w:t xml:space="preserve">3.4.2.3 </w:t>
      </w:r>
      <w:r>
        <w:rPr>
          <w:rFonts w:hint="eastAsia"/>
        </w:rPr>
        <w:t>构建生态产业链</w:t>
      </w:r>
    </w:p>
    <w:p>
      <w:pPr>
        <w:ind w:firstLine="560"/>
      </w:pPr>
      <w:r>
        <w:rPr>
          <w:rFonts w:hint="eastAsia"/>
        </w:rPr>
        <w:t>加快实施《万宁市产业链链长制实施方案》，以“减量化、再使用、再循环”为原则，减少进入生产和消费流程的投入量，强调多次利用以延长产品和服务的时间限度，把废弃物中的物质和能量再纳入生态经济系统，打造生态产业。以“原料链、制造链、配套链、要素链和服务链”为生态产业链基本框架，研究制定万宁市绿色生态产业发展实施方案，推动八大产业绿色化，构建一二三产互补融合产业链群，重点打造热带高效农业、旅游+产业、新型工业、海洋经济等生态产业链群。强化品牌研究，推进产业链群绿色低碳循环发展。聚力打好产业基础高级化、产业链现代化攻坚战，打造一批有一定行业影响力的主导产业集群、产业基地、优势企业，形成多业并举、多点支撑、多元发展的现代化生态产业发展格局。</w:t>
      </w:r>
    </w:p>
    <w:p>
      <w:pPr>
        <w:pStyle w:val="4"/>
      </w:pPr>
      <w:bookmarkStart w:id="62" w:name="_Toc152148728"/>
      <w:r>
        <w:rPr>
          <w:rFonts w:hint="eastAsia"/>
        </w:rPr>
        <w:t>3</w:t>
      </w:r>
      <w:r>
        <w:t xml:space="preserve">.4.3 </w:t>
      </w:r>
      <w:r>
        <w:rPr>
          <w:rFonts w:hint="eastAsia"/>
        </w:rPr>
        <w:t>推动能源消费绿色低碳转型</w:t>
      </w:r>
      <w:bookmarkEnd w:id="62"/>
    </w:p>
    <w:p>
      <w:pPr>
        <w:ind w:firstLine="562"/>
      </w:pPr>
      <w:r>
        <w:rPr>
          <w:rFonts w:hint="eastAsia"/>
          <w:b/>
          <w:bCs/>
        </w:rPr>
        <w:t>扎实推进百万千瓦漂浮式海上风电项目建设</w:t>
      </w:r>
      <w:r>
        <w:rPr>
          <w:rFonts w:hint="eastAsia"/>
        </w:rPr>
        <w:t>。积极推进海上风电集群化开发，将海上风电作为万宁市调整能源结构的重要抓手，对万宁市顺利实现2030年前碳达峰目标起到核心支撑作用。加快推进中电建海南万宁百万千瓦漂浮式海上风电项目建设，统筹做好海上风电运维，推进服务专业化、精准化，支持开发企业、风机制造企业组建专业运维机构，鼓励委托开展社会第三方专业运维。</w:t>
      </w:r>
    </w:p>
    <w:p>
      <w:pPr>
        <w:ind w:firstLine="562"/>
      </w:pPr>
      <w:r>
        <w:rPr>
          <w:rFonts w:hint="eastAsia"/>
          <w:b/>
          <w:bCs/>
        </w:rPr>
        <w:t>积极发展非化石能源。</w:t>
      </w:r>
      <w:r>
        <w:rPr>
          <w:rFonts w:hint="eastAsia"/>
        </w:rPr>
        <w:t>统筹推进多种形式的可再生能源开发项目，以灵活多样的方式扩大风电、光伏和生物质发电规模。坚持集中式与分布式并重，充分利用农渔业、废弃矿山园区、市政设施、公共机构、住宅等土地和场址，鼓励光伏发电就地并网消纳。积极推进风电资源规模化利用，探索推动分散式风电开发。充分利用农作物秸秆及农产品加工剩余物、生活垃圾与有机废弃物等生物质资源，因地制宜发展生物质能。有序拓展氢能应用场景，推动氢能在交通、工业等领域的多元应用，推进跨区域创新协同和产业联动，积极部署氢能产业链试点。</w:t>
      </w:r>
    </w:p>
    <w:p>
      <w:pPr>
        <w:ind w:firstLine="562"/>
      </w:pPr>
      <w:r>
        <w:rPr>
          <w:rFonts w:hint="eastAsia"/>
          <w:b/>
          <w:bCs/>
        </w:rPr>
        <w:t>清洁高效利用化石能源。</w:t>
      </w:r>
      <w:r>
        <w:rPr>
          <w:rFonts w:hint="eastAsia"/>
        </w:rPr>
        <w:t>合理控制汽油消费增速，有序压减柴油消费量，加快成品油质量升级，提高成品油终端消费利用效率，因地制宜推进生物柴油等替代传统燃油。加快油品利用场景向电能转变，加速新能源汽车替代燃油汽车，减少交通领域对石油能源的依赖性。加快天然气推广应用，加强市域燃气管道、天然气高中压调压站、液化天然气（LNG）瓶组站等配备设施供地，加快完善城镇燃气管网建设，科学有序推进燃气下乡“气代柴薪”，释放居民用气需求。</w:t>
      </w:r>
    </w:p>
    <w:p>
      <w:pPr>
        <w:ind w:firstLine="562"/>
      </w:pPr>
      <w:r>
        <w:rPr>
          <w:rFonts w:hint="eastAsia"/>
          <w:b/>
          <w:bCs/>
        </w:rPr>
        <w:t>全面提升绿色电力消纳能力。</w:t>
      </w:r>
      <w:r>
        <w:rPr>
          <w:rFonts w:hint="eastAsia"/>
        </w:rPr>
        <w:t>打造高可靠性的中低压混供互备交直流配电网，建设源网荷储协调控制中心，提升配电网对分布式电源的消纳能力，升级改造主动配电网自动化，搭建分布式电源集群管控系统，协助建设海南500千伏主网项目（万宁辖区段）。发挥重点用能企业的示范引领作用，丰富拓展绿色电力应用场景，鼓励用电企业开展分布式光伏发电建设，积极推进分布式光伏与储能、微电网等融合发展，探索在槟榔产业园、礼纪新型工业产业园开展微电网建设。研究制定高耗能企业使用绿色电力的刚性约束机制，逐年提高绿色电力消费最低占比。有序引导用户更多消费绿色电力，对消费绿电比例较高用户在实施需求侧管理时优先保障。</w:t>
      </w:r>
    </w:p>
    <w:p>
      <w:pPr>
        <w:pStyle w:val="4"/>
      </w:pPr>
      <w:bookmarkStart w:id="63" w:name="_Toc152148729"/>
      <w:r>
        <w:rPr>
          <w:rFonts w:hint="eastAsia"/>
        </w:rPr>
        <w:t>3</w:t>
      </w:r>
      <w:r>
        <w:t xml:space="preserve">.4.4 </w:t>
      </w:r>
      <w:r>
        <w:rPr>
          <w:rFonts w:hint="eastAsia"/>
        </w:rPr>
        <w:t>提升资源利用效率</w:t>
      </w:r>
      <w:bookmarkEnd w:id="63"/>
    </w:p>
    <w:p>
      <w:pPr>
        <w:ind w:firstLine="562"/>
      </w:pPr>
      <w:r>
        <w:rPr>
          <w:rFonts w:hint="eastAsia"/>
          <w:b/>
          <w:shd w:val="clear" w:color="auto" w:fill="FFFFFF"/>
        </w:rPr>
        <w:t>节约集约利用土地资源</w:t>
      </w:r>
      <w:r>
        <w:rPr>
          <w:rFonts w:hint="eastAsia"/>
        </w:rPr>
        <w:t>。实行最严格的节约用地制度，实施建设用地总量和强度双控行动。深化全市闲置建设用地清理处置，推动低效土地再开发利用。加强城镇周边地区耕地、林地、湿地等保护，推进城镇低效用地再开发和工矿废弃地复垦。落实项目用地准入协议制度，建立履约评价和土地退出机制，提高土地利用效益。鼓励槟榔产业园等园区和规模企业建设多层标准化厂房、改造旧厂房，引导中小项目向标准化厂房集中，不断提高单位面积土地投入和产出强度，促进产业集约集聚、高效发展。合理降低</w:t>
      </w:r>
      <w:r>
        <w:t>耕地</w:t>
      </w:r>
      <w:r>
        <w:rPr>
          <w:rFonts w:hint="eastAsia"/>
        </w:rPr>
        <w:t>开发强度，控制非农建设对耕地的占用，严格控制农村集体建设用地规模。</w:t>
      </w:r>
    </w:p>
    <w:p>
      <w:pPr>
        <w:ind w:firstLine="562"/>
      </w:pPr>
      <w:r>
        <w:rPr>
          <w:rFonts w:hint="eastAsia"/>
          <w:b/>
          <w:shd w:val="clear" w:color="auto" w:fill="FFFFFF"/>
        </w:rPr>
        <w:t>强化节水减污。</w:t>
      </w:r>
      <w:r>
        <w:rPr>
          <w:rFonts w:hint="eastAsia"/>
          <w:shd w:val="clear" w:color="auto" w:fill="FFFFFF"/>
        </w:rPr>
        <w:t>严格</w:t>
      </w:r>
      <w:r>
        <w:rPr>
          <w:rFonts w:hint="eastAsia"/>
        </w:rPr>
        <w:t>水资源管理，完善用水定额和节约用水奖励制度，强化用水总量和强度控制。完善规划和建设项目水资源论证及节水评价制度，建立城市节水管理长效机制。槟榔、木材、水泥砖等重点行业实施取水量和污染物排放总量协同控制。强化工业节水，重点</w:t>
      </w:r>
      <w:r>
        <w:t>发展园内厂际串联用水、废污水再生利</w:t>
      </w:r>
      <w:r>
        <w:rPr>
          <w:rFonts w:hint="eastAsia"/>
        </w:rPr>
        <w:t>用，加强源头治理，努力实现工业园区废污水“零排放”。加强重点能耗企业用水管理，严格工业企业用水定额管理与总量控制，推动产业结构调整和技术升级，推广节水设备，</w:t>
      </w:r>
      <w:r>
        <w:t>切实降低</w:t>
      </w:r>
      <w:r>
        <w:rPr>
          <w:rFonts w:hint="eastAsia"/>
        </w:rPr>
        <w:t>工业生产过程中的水资源消耗和废污水排放量。强化农业节水，加快高标准农田建设，优化农业产业布局和种植结构，推广高效节水农业，科学控制农业灌溉用水需求增长。推广田间节水和节水农艺，采用渠道防渗、喷微灌、少耕免耕为主的保护性耕作等技术，改善土壤结构，减轻水土流失。探索开展农业水价综合改革。倡导生活节水，</w:t>
      </w:r>
      <w:r>
        <w:t>大力推广节水器具，</w:t>
      </w:r>
      <w:r>
        <w:rPr>
          <w:rFonts w:hint="eastAsia"/>
        </w:rPr>
        <w:t>开展节水型单位、社区、家庭等创建活动，鼓励全民节水减排。</w:t>
      </w:r>
    </w:p>
    <w:p>
      <w:pPr>
        <w:pStyle w:val="4"/>
      </w:pPr>
      <w:bookmarkStart w:id="64" w:name="_Toc152148730"/>
      <w:r>
        <w:rPr>
          <w:rFonts w:hint="eastAsia"/>
        </w:rPr>
        <w:t>3</w:t>
      </w:r>
      <w:r>
        <w:t xml:space="preserve">.4.5 </w:t>
      </w:r>
      <w:r>
        <w:rPr>
          <w:rFonts w:hint="eastAsia"/>
        </w:rPr>
        <w:t>加强农业面源污染防治</w:t>
      </w:r>
      <w:bookmarkEnd w:id="64"/>
    </w:p>
    <w:p>
      <w:pPr>
        <w:ind w:firstLine="562"/>
      </w:pPr>
      <w:r>
        <w:rPr>
          <w:rFonts w:hint="eastAsia"/>
          <w:b/>
          <w:bCs/>
          <w:shd w:val="clear" w:color="auto" w:fill="FFFFFF"/>
        </w:rPr>
        <w:t>深入实施</w:t>
      </w:r>
      <w:r>
        <w:rPr>
          <w:rFonts w:hint="eastAsia"/>
          <w:b/>
          <w:bCs/>
        </w:rPr>
        <w:t>化肥农药减施增效。</w:t>
      </w:r>
      <w:r>
        <w:rPr>
          <w:rFonts w:hint="eastAsia"/>
        </w:rPr>
        <w:t>加强农业投入品规范化管理，推进农业绿色发展，降低化肥农药使用量，提高利用效率，减少化肥和农药施用强度。合理布局与建设现代化蔬菜基地，鼓励有机肥替代化肥，推广病虫害绿色防控、实施测土配方施肥、绿肥轮作、节水灌溉、林下复合种植等现代农业技术，控制农业源氨排放。</w:t>
      </w:r>
      <w:r>
        <w:t>在</w:t>
      </w:r>
      <w:r>
        <w:rPr>
          <w:rFonts w:hint="eastAsia"/>
        </w:rPr>
        <w:t>龙滚、后安镇等</w:t>
      </w:r>
      <w:r>
        <w:t>冬季瓜菜、热带水果等园艺作物的优势区、核心区基地，</w:t>
      </w:r>
      <w:r>
        <w:rPr>
          <w:rFonts w:hint="eastAsia"/>
        </w:rPr>
        <w:t>持续</w:t>
      </w:r>
      <w:r>
        <w:t>推进有机肥部分替代化肥行动。</w:t>
      </w:r>
      <w:r>
        <w:rPr>
          <w:shd w:val="clear" w:color="auto" w:fill="FFFFFF"/>
        </w:rPr>
        <w:t>重点推广应用缓（控）释肥、生物肥、水溶肥等高效新型肥料，推广高效施肥技术。</w:t>
      </w:r>
      <w:r>
        <w:rPr>
          <w:rFonts w:hint="eastAsia"/>
          <w:shd w:val="clear" w:color="auto" w:fill="FFFFFF"/>
        </w:rPr>
        <w:t>新建高标准农田要符合土壤</w:t>
      </w:r>
      <w:r>
        <w:rPr>
          <w:rFonts w:hint="eastAsia"/>
        </w:rPr>
        <w:t>环境质量要求，因地制宜建设小湿地群，净化农田排水。</w:t>
      </w:r>
    </w:p>
    <w:p>
      <w:pPr>
        <w:ind w:firstLine="562"/>
      </w:pPr>
      <w:r>
        <w:rPr>
          <w:b/>
          <w:bCs/>
        </w:rPr>
        <w:t>强化畜禽养殖污染防治</w:t>
      </w:r>
      <w:r>
        <w:rPr>
          <w:rFonts w:hint="eastAsia"/>
          <w:b/>
          <w:bCs/>
        </w:rPr>
        <w:t>。</w:t>
      </w:r>
      <w:r>
        <w:rPr>
          <w:rFonts w:hint="eastAsia"/>
        </w:rPr>
        <w:t>严格落实畜禽养殖禁养区管理制度</w:t>
      </w:r>
      <w:r>
        <w:t>。完成规模养殖场粪污处理和资源化利用设施全覆盖</w:t>
      </w:r>
      <w:r>
        <w:rPr>
          <w:rFonts w:hint="eastAsia"/>
        </w:rPr>
        <w:t>，</w:t>
      </w:r>
      <w:r>
        <w:t>实施畜禽养殖生产清洁化和产业模式生态化升级改造</w:t>
      </w:r>
      <w:r>
        <w:rPr>
          <w:rFonts w:hint="eastAsia"/>
        </w:rPr>
        <w:t>，引导中小型养殖场和散养户采取就地或附近消纳污染物生态养殖模式。鼓励养殖专业户开展粪便收集和资源化利用，建设一批畜禽粪污原地收储、转运、固体粪便集中堆肥等设施。鼓励采用“鱼塘</w:t>
      </w:r>
      <w:r>
        <w:t>+</w:t>
      </w:r>
      <w:r>
        <w:rPr>
          <w:rFonts w:hint="eastAsia"/>
        </w:rPr>
        <w:t>湿地”模式，削减入湖入河入海污染负荷。加强病死畜禽无害化处理设施建设，完善覆盖饲养、屠宰、经营、运输等环节的病死畜禽无害化处理体系。制定实施水产养殖规划，开展水产养殖池塘标准化、生态化改造。</w:t>
      </w:r>
    </w:p>
    <w:p>
      <w:pPr>
        <w:ind w:firstLine="562"/>
      </w:pPr>
      <w:r>
        <w:rPr>
          <w:rFonts w:hint="eastAsia"/>
          <w:b/>
          <w:shd w:val="clear" w:color="auto" w:fill="FFFFFF"/>
        </w:rPr>
        <w:t>提高农作物资源回收利用率。</w:t>
      </w:r>
      <w:r>
        <w:t>坚持政府和市场两条腿走路</w:t>
      </w:r>
      <w:r>
        <w:rPr>
          <w:rFonts w:hint="eastAsia"/>
        </w:rPr>
        <w:t>，以农业种植有机废弃物为重点，构建农村固体废弃物收集、转化、应用三级网络，提高农村固体废弃物资源化利用的规模化、专业化和社会化。控制非标准农膜的使用，推广可降解农膜应用，建立健全废旧农膜、农药包装废弃物回收利用体系，提高废弃物回收率。探索</w:t>
      </w:r>
      <w:r>
        <w:t>耕地地力补贴与秸秆利用挂钩机制</w:t>
      </w:r>
      <w:r>
        <w:rPr>
          <w:rFonts w:hint="eastAsia"/>
        </w:rPr>
        <w:t>，支持水稻、菠萝秸秆机械粉碎深耕还田作业和秸秆青贮利用，提高秸秆机械粉碎还田、秸秆发酵沼气、堆沤还田、秸秆炭基肥以及生物反应等资源化利用，推进秸秆肥料化、饲料化、燃料化、基料化和原料化利用。</w:t>
      </w:r>
    </w:p>
    <w:p>
      <w:pPr>
        <w:ind w:firstLine="560"/>
      </w:pPr>
    </w:p>
    <w:p>
      <w:pPr>
        <w:widowControl/>
        <w:adjustRightInd/>
        <w:snapToGrid/>
        <w:spacing w:line="240" w:lineRule="auto"/>
        <w:ind w:firstLine="0" w:firstLineChars="0"/>
        <w:jc w:val="left"/>
      </w:pPr>
      <w:r>
        <w:br w:type="page"/>
      </w:r>
    </w:p>
    <w:p>
      <w:pPr>
        <w:pStyle w:val="3"/>
      </w:pPr>
      <w:bookmarkStart w:id="65" w:name="_Toc152148731"/>
      <w:r>
        <w:rPr>
          <w:rFonts w:hint="eastAsia"/>
        </w:rPr>
        <w:t>3</w:t>
      </w:r>
      <w:r>
        <w:t xml:space="preserve">.5 </w:t>
      </w:r>
      <w:r>
        <w:rPr>
          <w:rFonts w:hint="eastAsia"/>
        </w:rPr>
        <w:t>塑造生态生活，建设宜居万宁</w:t>
      </w:r>
      <w:bookmarkEnd w:id="65"/>
    </w:p>
    <w:p>
      <w:pPr>
        <w:pStyle w:val="4"/>
      </w:pPr>
      <w:bookmarkStart w:id="66" w:name="_Toc152148732"/>
      <w:r>
        <w:rPr>
          <w:rFonts w:hint="eastAsia"/>
        </w:rPr>
        <w:t>3</w:t>
      </w:r>
      <w:r>
        <w:t xml:space="preserve">.5.1 </w:t>
      </w:r>
      <w:r>
        <w:rPr>
          <w:rFonts w:hint="eastAsia"/>
        </w:rPr>
        <w:t>持续推进城乡环境一体化建设</w:t>
      </w:r>
      <w:bookmarkEnd w:id="66"/>
    </w:p>
    <w:p>
      <w:pPr>
        <w:ind w:firstLine="560"/>
        <w:rPr>
          <w:color w:val="333333"/>
          <w:shd w:val="clear" w:color="auto" w:fill="FFFFFF"/>
        </w:rPr>
      </w:pPr>
      <w:r>
        <w:rPr>
          <w:rFonts w:hint="eastAsia"/>
          <w:color w:val="333333"/>
          <w:shd w:val="clear" w:color="auto" w:fill="FFFFFF"/>
        </w:rPr>
        <w:t>秉承绿色生态、人文宜居、活力高效、创新智慧、韧性安全的布局理念。打造高品质的热带滨湾花园城市，力求塑造一个具有山水底韵、本土意韵、现代风韵宜居城市。</w:t>
      </w:r>
    </w:p>
    <w:p>
      <w:pPr>
        <w:ind w:firstLine="562"/>
        <w:rPr>
          <w:b/>
          <w:bCs/>
          <w:color w:val="333333"/>
          <w:shd w:val="clear" w:color="auto" w:fill="FFFFFF"/>
        </w:rPr>
      </w:pPr>
      <w:r>
        <w:rPr>
          <w:rFonts w:hint="eastAsia"/>
          <w:b/>
          <w:bCs/>
          <w:color w:val="333333"/>
          <w:shd w:val="clear" w:color="auto" w:fill="FFFFFF"/>
        </w:rPr>
        <w:t>优化生态生活空间。</w:t>
      </w:r>
      <w:r>
        <w:rPr>
          <w:rFonts w:hint="eastAsia"/>
          <w:color w:val="333333"/>
          <w:shd w:val="clear" w:color="auto" w:fill="FFFFFF"/>
        </w:rPr>
        <w:t>构建山清水秀的生态空间，严守595.2平方公里陆域生态保护红线和749.2平方公里海洋生态保护红线，森林覆盖率稳定在66.</w:t>
      </w:r>
      <w:r>
        <w:rPr>
          <w:color w:val="333333"/>
          <w:shd w:val="clear" w:color="auto" w:fill="FFFFFF"/>
        </w:rPr>
        <w:t>7</w:t>
      </w:r>
      <w:r>
        <w:rPr>
          <w:rFonts w:hint="eastAsia"/>
          <w:color w:val="333333"/>
          <w:shd w:val="clear" w:color="auto" w:fill="FFFFFF"/>
        </w:rPr>
        <w:t>%及以上，林地保有量不低于124170公顷，森林面积保有量不低于125500公顷。创建宜居适度的生活空间，实现污水处理厂建制镇全覆盖、生活污水治理自然村全覆盖、垃圾转运体系城乡全覆盖，落实城镇居民出行“300米见绿、500米见园”建设要求，创建国家生态园林城市。</w:t>
      </w:r>
    </w:p>
    <w:p>
      <w:pPr>
        <w:ind w:firstLine="562"/>
      </w:pPr>
      <w:r>
        <w:rPr>
          <w:rFonts w:hint="eastAsia"/>
          <w:b/>
          <w:bCs/>
          <w:color w:val="333333"/>
          <w:shd w:val="clear" w:color="auto" w:fill="FFFFFF"/>
        </w:rPr>
        <w:t>构建便携绿色出行系统。</w:t>
      </w:r>
      <w:r>
        <w:rPr>
          <w:rFonts w:hint="eastAsia"/>
          <w:bCs/>
          <w:shd w:val="clear" w:color="auto" w:fill="FFFFFF"/>
        </w:rPr>
        <w:t>加强交通基础设施建设，形成以万城镇为中心，以高速公路、国道、省道为骨架，构建市域“三纵四横”公路网体系。建设好海南环岛旅游公路万宁段，完善西部景区旅游公路、特色风景道、生态骑行道建设，做好东部滨海旅游公路与西部雨林旅游公路串联工作，加强农村公路建设，持续推进“四好农村路”建设提质增效。坚持客运零距离换乘、货运无缝衔接原则，消除综合交通枢纽集疏运设施短板，加大不同运输方式运力衔接和组织协同，提高运输效率和一体化水平。加强道路客运运力调控，引导道路货运向网络化、规模化、集约化和高效化发展，不断提高客、货运实载率，着力强化管理性节能减排。优先发展公共交通，改善公共交通与步行、自行车、小汽车等不同交通方式之间的衔接换乘条件，建立以“城市公共交通+电动自行车/自行车/步行”为主体的绿色出行系统。提高公路客运服务便捷化、多样化水平，更好地满足公众多层次出行需求，增加公共交通吸引力。</w:t>
      </w:r>
    </w:p>
    <w:p>
      <w:pPr>
        <w:ind w:firstLine="562"/>
      </w:pPr>
      <w:bookmarkStart w:id="67" w:name="_Toc463863318"/>
      <w:r>
        <w:rPr>
          <w:rFonts w:hint="eastAsia"/>
          <w:b/>
          <w:bCs/>
          <w:shd w:val="clear" w:color="auto" w:fill="FFFFFF"/>
        </w:rPr>
        <w:t>深入推进绿色建筑发展。</w:t>
      </w:r>
      <w:r>
        <w:rPr>
          <w:shd w:val="clear" w:color="auto" w:fill="FFFFFF"/>
        </w:rPr>
        <w:t>城镇新建建筑全面实行绿色建筑标准，发展装配式建筑，</w:t>
      </w:r>
      <w:r>
        <w:rPr>
          <w:rFonts w:hint="eastAsia"/>
          <w:shd w:val="clear" w:color="auto" w:fill="FFFFFF"/>
        </w:rPr>
        <w:t>推进</w:t>
      </w:r>
      <w:r>
        <w:rPr>
          <w:shd w:val="clear" w:color="auto" w:fill="FFFFFF"/>
        </w:rPr>
        <w:t>建筑节能，</w:t>
      </w:r>
      <w:r>
        <w:rPr>
          <w:rFonts w:hint="eastAsia"/>
          <w:shd w:val="clear" w:color="auto" w:fill="FFFFFF"/>
        </w:rPr>
        <w:t>实现</w:t>
      </w:r>
      <w:r>
        <w:rPr>
          <w:shd w:val="clear" w:color="auto" w:fill="FFFFFF"/>
        </w:rPr>
        <w:t>可再生能源建</w:t>
      </w:r>
      <w:r>
        <w:rPr>
          <w:rFonts w:hint="eastAsia" w:ascii="仿宋_GB2312"/>
          <w:shd w:val="clear" w:color="auto" w:fill="FFFFFF"/>
        </w:rPr>
        <w:t>筑规模逐步扩大，农村建筑节能实现新突破。加大先进节能环保技术、工艺和装备的研发力度，提高能效水平，加快淘汰落后装备设备和技术，促进建筑业绿色改造。推进建材绿色化，提高绿色建材的使用比例。实行建筑工程全生命周期的绿色建造模式，通过智能建造与建筑工业化协同发展，实现建筑总体能耗强度持续下降、建筑能源消费结构逐步改善、建筑领域绿色发展水平明显</w:t>
      </w:r>
      <w:r>
        <w:rPr>
          <w:rFonts w:hint="eastAsia"/>
        </w:rPr>
        <w:t>提高。</w:t>
      </w:r>
    </w:p>
    <w:p>
      <w:pPr>
        <w:ind w:firstLine="562"/>
        <w:rPr>
          <w:b/>
          <w:bCs/>
        </w:rPr>
      </w:pPr>
      <w:r>
        <w:rPr>
          <w:rFonts w:hint="eastAsia"/>
          <w:b/>
          <w:bCs/>
        </w:rPr>
        <w:t>健全生活垃圾分类收集和回收体系。</w:t>
      </w:r>
      <w:r>
        <w:rPr>
          <w:rFonts w:hint="eastAsia"/>
        </w:rPr>
        <w:t>积极推进港北、长丰、兴隆等万宁市生活垃圾转运站提升及新建项目，探索将生活垃圾分类收运体系和再生资源回收体系“两网融合”，建设一批小区两网融合试点以及一批再生资源集散中心，实现可回收物的统一收运处置，基本实现资源回收全利用、原生垃圾零填埋的目标。</w:t>
      </w:r>
    </w:p>
    <w:bookmarkEnd w:id="67"/>
    <w:p>
      <w:pPr>
        <w:pStyle w:val="4"/>
      </w:pPr>
      <w:bookmarkStart w:id="68" w:name="_Toc152148733"/>
      <w:r>
        <w:rPr>
          <w:rFonts w:hint="eastAsia"/>
        </w:rPr>
        <w:t>3</w:t>
      </w:r>
      <w:r>
        <w:t xml:space="preserve">.5.2 </w:t>
      </w:r>
      <w:r>
        <w:rPr>
          <w:rFonts w:hint="eastAsia"/>
        </w:rPr>
        <w:t>品质提升，建设宜居宜业生态城区</w:t>
      </w:r>
      <w:bookmarkEnd w:id="68"/>
    </w:p>
    <w:p>
      <w:pPr>
        <w:ind w:firstLine="562"/>
        <w:rPr>
          <w:b/>
          <w:bCs/>
          <w:color w:val="333333"/>
          <w:shd w:val="clear" w:color="auto" w:fill="FFFFFF"/>
        </w:rPr>
      </w:pPr>
      <w:r>
        <w:rPr>
          <w:rFonts w:hint="eastAsia"/>
          <w:b/>
          <w:bCs/>
          <w:color w:val="333333"/>
          <w:shd w:val="clear" w:color="auto" w:fill="FFFFFF"/>
        </w:rPr>
        <w:t>1、构建绿色生态城镇体系</w:t>
      </w:r>
    </w:p>
    <w:p>
      <w:pPr>
        <w:ind w:firstLine="560"/>
        <w:rPr>
          <w:color w:val="333333"/>
          <w:shd w:val="clear" w:color="auto" w:fill="FFFFFF"/>
        </w:rPr>
      </w:pPr>
      <w:r>
        <w:rPr>
          <w:rFonts w:hint="eastAsia"/>
          <w:color w:val="333333"/>
          <w:shd w:val="clear" w:color="auto" w:fill="FFFFFF"/>
        </w:rPr>
        <w:t>构建“中心城区-副中心</w:t>
      </w:r>
      <w:r>
        <w:rPr>
          <w:color w:val="333333"/>
          <w:shd w:val="clear" w:color="auto" w:fill="FFFFFF"/>
        </w:rPr>
        <w:t>-</w:t>
      </w:r>
      <w:r>
        <w:rPr>
          <w:rFonts w:hint="eastAsia"/>
          <w:color w:val="333333"/>
          <w:shd w:val="clear" w:color="auto" w:fill="FFFFFF"/>
        </w:rPr>
        <w:t>中心镇</w:t>
      </w:r>
      <w:r>
        <w:rPr>
          <w:color w:val="333333"/>
          <w:shd w:val="clear" w:color="auto" w:fill="FFFFFF"/>
        </w:rPr>
        <w:t>-</w:t>
      </w:r>
      <w:r>
        <w:rPr>
          <w:rFonts w:hint="eastAsia"/>
          <w:color w:val="333333"/>
          <w:shd w:val="clear" w:color="auto" w:fill="FFFFFF"/>
        </w:rPr>
        <w:t>一般镇”的四级城镇体系等级结构。中心城区包括万城镇区、长丰镇区、大茂镇区和乌场片区。副中心指兴隆华侨旅游经济区。中心镇4个，包括和乐镇、东澳镇、北大镇</w:t>
      </w:r>
      <w:r>
        <w:rPr>
          <w:color w:val="333333"/>
          <w:shd w:val="clear" w:color="auto" w:fill="FFFFFF"/>
        </w:rPr>
        <w:t>-</w:t>
      </w:r>
      <w:r>
        <w:rPr>
          <w:rFonts w:hint="eastAsia"/>
          <w:color w:val="333333"/>
          <w:shd w:val="clear" w:color="auto" w:fill="FFFFFF"/>
        </w:rPr>
        <w:t>东兴农场、龙滚镇，为区域提供全面的公共服务。一般镇6个，包括礼纪镇、后安镇、东和农场、南桥镇、山根镇</w:t>
      </w:r>
      <w:r>
        <w:rPr>
          <w:color w:val="333333"/>
          <w:shd w:val="clear" w:color="auto" w:fill="FFFFFF"/>
        </w:rPr>
        <w:t>-</w:t>
      </w:r>
      <w:r>
        <w:rPr>
          <w:rFonts w:hint="eastAsia"/>
          <w:color w:val="333333"/>
          <w:shd w:val="clear" w:color="auto" w:fill="FFFFFF"/>
        </w:rPr>
        <w:t>六连林场、三更罗镇</w:t>
      </w:r>
      <w:r>
        <w:rPr>
          <w:color w:val="333333"/>
          <w:shd w:val="clear" w:color="auto" w:fill="FFFFFF"/>
        </w:rPr>
        <w:t>-</w:t>
      </w:r>
      <w:r>
        <w:rPr>
          <w:rFonts w:hint="eastAsia"/>
          <w:color w:val="333333"/>
          <w:shd w:val="clear" w:color="auto" w:fill="FFFFFF"/>
        </w:rPr>
        <w:t>新中居，为镇域提供基础的公共服务。</w:t>
      </w:r>
    </w:p>
    <w:p>
      <w:pPr>
        <w:ind w:firstLine="562"/>
        <w:rPr>
          <w:b/>
          <w:bCs/>
          <w:color w:val="333333"/>
          <w:shd w:val="clear" w:color="auto" w:fill="FFFFFF"/>
        </w:rPr>
      </w:pPr>
      <w:r>
        <w:rPr>
          <w:b/>
          <w:bCs/>
          <w:color w:val="333333"/>
          <w:shd w:val="clear" w:color="auto" w:fill="FFFFFF"/>
        </w:rPr>
        <w:t>2</w:t>
      </w:r>
      <w:r>
        <w:rPr>
          <w:rFonts w:hint="eastAsia"/>
          <w:b/>
          <w:bCs/>
          <w:color w:val="333333"/>
          <w:shd w:val="clear" w:color="auto" w:fill="FFFFFF"/>
        </w:rPr>
        <w:t>、统筹优化重点片区空间结构</w:t>
      </w:r>
    </w:p>
    <w:p>
      <w:pPr>
        <w:ind w:firstLine="560"/>
      </w:pPr>
      <w:r>
        <w:rPr>
          <w:rFonts w:hint="eastAsia"/>
        </w:rPr>
        <w:t>统筹环小海产城融合发展区和大兴隆山海旅游集群区空间格局。前者是吸纳本地就业和本地城镇化的核心载区，后者则是滨海体育运动和山海互动旅游产业的集中发展区。</w:t>
      </w:r>
    </w:p>
    <w:p>
      <w:pPr>
        <w:ind w:firstLine="562"/>
      </w:pPr>
      <w:r>
        <w:rPr>
          <w:rFonts w:hint="eastAsia"/>
          <w:b/>
          <w:bCs/>
        </w:rPr>
        <w:t>环小海产城融合发展区。</w:t>
      </w:r>
      <w:r>
        <w:rPr>
          <w:rFonts w:hint="eastAsia"/>
        </w:rPr>
        <w:t>构建以万城为核心的产城融合发展区。跳出以往各自为阵的发展模式，合理划分城区、园区功能区。突出中心城区配套服务职能和园区的产业引擎作用，强化区域交通联络，实现城、园的功能协调和设施共享。打造面向未来的环小海战略发展区。围绕小海优质的生态环境和景观资源，构建环小海交通环线，串联城镇、产业园区、美丽乡村等各功能板块，打造多元复合的魅力场所、并为海南自贸港建设预留的战略发展空间。</w:t>
      </w:r>
    </w:p>
    <w:p>
      <w:pPr>
        <w:ind w:firstLine="562"/>
      </w:pPr>
      <w:r>
        <w:rPr>
          <w:rFonts w:hint="eastAsia"/>
          <w:b/>
          <w:bCs/>
        </w:rPr>
        <w:t>大兴隆山海旅游集群区。</w:t>
      </w:r>
      <w:r>
        <w:rPr>
          <w:rFonts w:hint="eastAsia"/>
        </w:rPr>
        <w:t>突出海陆空旅游的战略引领作用。整合冲浪、游艇、通航机场、温泉、时尚运动、热带植物等旅游资源，推进多主题景区建设，突出海陆空旅游对大兴隆地区的战略引领作用。以文化为引领驱动旅游消费升级。实施“文化+”战略，对现有华侨文化、咖啡文化和温泉文化进行挖潜和升级，强化文化与旅游、会展、体育等产业的融合发展，抢抓政策机遇窗口期，系统性补齐消费设施短板。</w:t>
      </w:r>
    </w:p>
    <w:p>
      <w:pPr>
        <w:ind w:firstLine="562"/>
        <w:rPr>
          <w:b/>
          <w:bCs/>
        </w:rPr>
      </w:pPr>
      <w:r>
        <w:rPr>
          <w:b/>
          <w:bCs/>
        </w:rPr>
        <w:t>3</w:t>
      </w:r>
      <w:r>
        <w:rPr>
          <w:rFonts w:hint="eastAsia"/>
          <w:b/>
          <w:bCs/>
        </w:rPr>
        <w:t>、构建中心城区蓝绿生境</w:t>
      </w:r>
    </w:p>
    <w:p>
      <w:pPr>
        <w:ind w:firstLine="560"/>
      </w:pPr>
      <w:r>
        <w:rPr>
          <w:rFonts w:hint="eastAsia"/>
        </w:rPr>
        <w:t>构建“一心一带、五园多点”的蓝绿生态网络：“一心”为东山岭生态核心、“一带”为东山河及其支流景观带、“五园”为文化体育公园、人民公园、仁里河公园、烈士陵园、城北带状公园、“五园多点”为多个社区“口袋”公园。</w:t>
      </w:r>
    </w:p>
    <w:p>
      <w:pPr>
        <w:ind w:firstLine="562"/>
      </w:pPr>
      <w:r>
        <w:rPr>
          <w:rFonts w:hint="eastAsia"/>
          <w:b/>
          <w:bCs/>
        </w:rPr>
        <w:t>梳理水系，串联成网</w:t>
      </w:r>
      <w:r>
        <w:rPr>
          <w:rFonts w:hint="eastAsia"/>
        </w:rPr>
        <w:t>：梳理东山河及支流河道空间，严格控制岸线，优化河道岸线景观，预留滨河亲水空间，增强河道的亲水性、公共性和通达性。</w:t>
      </w:r>
    </w:p>
    <w:p>
      <w:pPr>
        <w:ind w:firstLine="562"/>
      </w:pPr>
      <w:r>
        <w:rPr>
          <w:rFonts w:hint="eastAsia"/>
          <w:b/>
          <w:bCs/>
        </w:rPr>
        <w:t>增加绿化，打通廊道</w:t>
      </w:r>
      <w:r>
        <w:rPr>
          <w:rFonts w:hint="eastAsia"/>
        </w:rPr>
        <w:t>：在河流汇集区域打造城市湿地公园，建设城市绿心；渠道变廊道，以现状水系水渠为依托，打造带状公园，形成城市绿脉；补充多个社区公园，实现绿地服务半径全盖。</w:t>
      </w:r>
    </w:p>
    <w:p>
      <w:pPr>
        <w:pStyle w:val="4"/>
      </w:pPr>
      <w:bookmarkStart w:id="69" w:name="_Toc152148734"/>
      <w:r>
        <w:rPr>
          <w:rFonts w:hint="eastAsia"/>
        </w:rPr>
        <w:t>3</w:t>
      </w:r>
      <w:r>
        <w:t xml:space="preserve">.5.3 </w:t>
      </w:r>
      <w:r>
        <w:rPr>
          <w:rFonts w:hint="eastAsia"/>
        </w:rPr>
        <w:t>全面推进乡村生态振兴，建设秀美椰风乡村</w:t>
      </w:r>
      <w:bookmarkEnd w:id="69"/>
    </w:p>
    <w:p>
      <w:pPr>
        <w:ind w:firstLine="562"/>
        <w:rPr>
          <w:b/>
          <w:bCs/>
        </w:rPr>
      </w:pPr>
      <w:bookmarkStart w:id="70" w:name="_Hlk145074771"/>
      <w:r>
        <w:rPr>
          <w:rFonts w:hint="eastAsia"/>
          <w:b/>
          <w:bCs/>
        </w:rPr>
        <w:t>1、改善农村人居环境</w:t>
      </w:r>
    </w:p>
    <w:p>
      <w:pPr>
        <w:ind w:firstLine="562"/>
      </w:pPr>
      <w:r>
        <w:rPr>
          <w:rFonts w:hint="eastAsia"/>
          <w:b/>
          <w:bCs/>
        </w:rPr>
        <w:t>深化农村垃圾治理。</w:t>
      </w:r>
      <w:r>
        <w:rPr>
          <w:rFonts w:hint="eastAsia"/>
        </w:rPr>
        <w:t>推进农村生活垃圾分类减量、建设集中收运、资源化利用和无害化处理服务体系，改造或停用露天垃圾池等敞开式垃圾收集场所、设施，垃圾收集点建设要符合标准、管理到位，村内10-15户配备1个密闭垃圾桶。每个镇应至少建有一座垃圾转运站，每个行政村配有餐厨垃圾、有害垃圾等特种垃圾桶。</w:t>
      </w:r>
    </w:p>
    <w:p>
      <w:pPr>
        <w:ind w:firstLine="562"/>
      </w:pPr>
      <w:r>
        <w:rPr>
          <w:rFonts w:hint="eastAsia"/>
          <w:b/>
          <w:bCs/>
        </w:rPr>
        <w:t>继续农村“厕所革命”。</w:t>
      </w:r>
      <w:r>
        <w:rPr>
          <w:rFonts w:hint="eastAsia"/>
        </w:rPr>
        <w:t>开展农村“厕所革命”，</w:t>
      </w:r>
      <w:r>
        <w:rPr>
          <w:rFonts w:hint="eastAsia" w:ascii="仿宋_GB2312"/>
          <w:color w:val="333333"/>
          <w:shd w:val="clear" w:color="auto" w:fill="FFFFFF"/>
        </w:rPr>
        <w:t>加强农村改厕与生活污水治理的有效衔接，结合实际，将厕所粪污、畜禽养殖废弃物一并处理并资源化利用。</w:t>
      </w:r>
    </w:p>
    <w:p>
      <w:pPr>
        <w:ind w:firstLine="562"/>
        <w:rPr>
          <w:b/>
          <w:bCs/>
        </w:rPr>
      </w:pPr>
      <w:r>
        <w:rPr>
          <w:rFonts w:hint="eastAsia"/>
          <w:b/>
          <w:bCs/>
        </w:rPr>
        <w:t>加快农村生活污水和黑臭水体治理。</w:t>
      </w:r>
      <w:r>
        <w:rPr>
          <w:rFonts w:hint="eastAsia"/>
        </w:rPr>
        <w:t>推进城镇污水处理设施和服务向农村延伸，加快建设农村污水集中处理设施，可纳管的村庄尽量接入市政管网，无法纳管的村庄继续推进分散式污水治理工程。</w:t>
      </w:r>
      <w:r>
        <w:t>以小海</w:t>
      </w:r>
      <w:r>
        <w:rPr>
          <w:rFonts w:hint="eastAsia"/>
        </w:rPr>
        <w:t>和老爷海</w:t>
      </w:r>
      <w:r>
        <w:t>流域</w:t>
      </w:r>
      <w:r>
        <w:rPr>
          <w:rFonts w:hint="eastAsia"/>
        </w:rPr>
        <w:t>、集中式饮用水源地保护区沿岸周边村庄污水治理项目以及和乐镇</w:t>
      </w:r>
      <w:r>
        <w:t>等生态敏感区域周边的村庄为重点，逐步推进农村污水治理工作。</w:t>
      </w:r>
      <w:r>
        <w:rPr>
          <w:rFonts w:hint="eastAsia"/>
        </w:rPr>
        <w:t>加强农村卫生厕所改造与生活污水治理有效衔接。探索建立多元化农村污水处理设施长效运行机制，拓宽农村生活污水治理资金渠道，推动污水治理“建设+运营”一体化进程，完善监管机制，保障设施正常运行。加快农村黑臭水体综合整治工程，解决农村水体“脏乱差、黑堵臭”问题。</w:t>
      </w:r>
    </w:p>
    <w:p>
      <w:pPr>
        <w:ind w:firstLine="562"/>
      </w:pPr>
      <w:r>
        <w:rPr>
          <w:rFonts w:hint="eastAsia"/>
          <w:b/>
          <w:bCs/>
        </w:rPr>
        <w:t>加强村镇饮用水卫生监管。</w:t>
      </w:r>
      <w:r>
        <w:rPr>
          <w:rFonts w:hint="eastAsia"/>
        </w:rPr>
        <w:t>村镇饮用水尽可能做到专人专管。饮水工程应按照《生活饮用水卫生管理标准》实施定期清洗消毒，消毒剂量要严格参照消毒标准实行。工程周边卫生应及时清理，建议氟化物超标的饮水工程停止使用，重新划定饮用水水源保护区。供水单位要进一步加强水源卫生防护、管理制度、职责落实等后续管理，进而村镇供水质量达到国家考核要求。</w:t>
      </w:r>
    </w:p>
    <w:p>
      <w:pPr>
        <w:ind w:firstLine="562"/>
        <w:rPr>
          <w:b/>
          <w:bCs/>
        </w:rPr>
      </w:pPr>
      <w:r>
        <w:rPr>
          <w:rFonts w:hint="eastAsia"/>
          <w:b/>
          <w:bCs/>
        </w:rPr>
        <w:t>2、打造椰风、海韵未来乡村</w:t>
      </w:r>
    </w:p>
    <w:p>
      <w:pPr>
        <w:ind w:firstLine="560"/>
      </w:pPr>
      <w:r>
        <w:rPr>
          <w:rFonts w:hint="eastAsia"/>
        </w:rPr>
        <w:t>推进村庄规划和美丽乡村建设，推进“多规合一”实用性村庄规划编制，有需求、有条件的村庄应编尽编。新增</w:t>
      </w:r>
      <w:r>
        <w:t>一批</w:t>
      </w:r>
      <w:r>
        <w:rPr>
          <w:rFonts w:hint="eastAsia"/>
        </w:rPr>
        <w:t>港北休闲渔业小镇、</w:t>
      </w:r>
      <w:r>
        <w:t>椰级乡村旅游点</w:t>
      </w:r>
      <w:r>
        <w:rPr>
          <w:rFonts w:hint="eastAsia"/>
        </w:rPr>
        <w:t>和环小海田园综合体，创建30个特色农业专业村、30个乡村旅游示范村，完成和巩固112个美丽乡村、3个特色产业小镇建设。</w:t>
      </w:r>
    </w:p>
    <w:p>
      <w:pPr>
        <w:ind w:firstLine="562"/>
        <w:rPr>
          <w:rFonts w:asciiTheme="minorHAnsi" w:hAnsiTheme="minorHAnsi"/>
          <w:b/>
          <w:bCs/>
          <w:shd w:val="clear" w:color="auto" w:fill="FFFFFF"/>
        </w:rPr>
      </w:pPr>
      <w:r>
        <w:rPr>
          <w:b/>
          <w:bCs/>
        </w:rPr>
        <w:t>3</w:t>
      </w:r>
      <w:r>
        <w:rPr>
          <w:rFonts w:hint="eastAsia"/>
          <w:b/>
          <w:bCs/>
        </w:rPr>
        <w:t>、</w:t>
      </w:r>
      <w:r>
        <w:rPr>
          <w:rFonts w:hint="eastAsia" w:asciiTheme="minorHAnsi" w:hAnsiTheme="minorHAnsi"/>
          <w:b/>
          <w:bCs/>
          <w:shd w:val="clear" w:color="auto" w:fill="FFFFFF"/>
        </w:rPr>
        <w:t>促进农村产业振兴</w:t>
      </w:r>
    </w:p>
    <w:p>
      <w:pPr>
        <w:ind w:firstLine="560"/>
        <w:rPr>
          <w:rFonts w:ascii="仿宋_GB2312"/>
          <w:szCs w:val="32"/>
        </w:rPr>
      </w:pPr>
      <w:r>
        <w:rPr>
          <w:rFonts w:hint="eastAsia"/>
          <w:szCs w:val="28"/>
        </w:rPr>
        <w:t>围绕村镇空间结构和功能布局，合理优化乡村产业结构，构建万宁市现代乡村产业体系，促进万宁市农村一二三产业融合发展。</w:t>
      </w:r>
      <w:r>
        <w:rPr>
          <w:rFonts w:hint="eastAsia" w:asciiTheme="minorHAnsi" w:hAnsiTheme="minorHAnsi"/>
          <w:shd w:val="clear" w:color="auto" w:fill="FFFFFF"/>
        </w:rPr>
        <w:t>结合万宁市自然资源禀赋，以“八大产业”为统领，</w:t>
      </w:r>
      <w:r>
        <w:rPr>
          <w:rFonts w:hint="eastAsia"/>
          <w:szCs w:val="28"/>
        </w:rPr>
        <w:t>将乡村产业逐步融入区域性产业链和供应链，</w:t>
      </w:r>
      <w:r>
        <w:rPr>
          <w:rFonts w:hint="eastAsia" w:ascii="仿宋_GB2312"/>
          <w:szCs w:val="32"/>
        </w:rPr>
        <w:t>实现</w:t>
      </w:r>
      <w:r>
        <w:rPr>
          <w:rFonts w:hint="eastAsia" w:ascii="仿宋_GB2312"/>
          <w:szCs w:val="32"/>
          <w:lang w:val="zh-CN" w:bidi="zh-CN"/>
        </w:rPr>
        <w:t>“一镇</w:t>
      </w:r>
      <w:r>
        <w:rPr>
          <w:rFonts w:hint="eastAsia" w:ascii="仿宋_GB2312"/>
          <w:szCs w:val="32"/>
        </w:rPr>
        <w:t>一特色</w:t>
      </w:r>
      <w:r>
        <w:rPr>
          <w:rFonts w:hint="eastAsia" w:ascii="仿宋_GB2312"/>
          <w:szCs w:val="32"/>
          <w:lang w:val="zh-CN" w:bidi="zh-CN"/>
        </w:rPr>
        <w:t>”</w:t>
      </w:r>
      <w:r>
        <w:rPr>
          <w:rFonts w:hint="eastAsia" w:ascii="仿宋_GB2312"/>
          <w:szCs w:val="32"/>
        </w:rPr>
        <w:t>“一村一品”。</w:t>
      </w:r>
      <w:r>
        <w:rPr>
          <w:rFonts w:hint="eastAsia"/>
          <w:szCs w:val="28"/>
        </w:rPr>
        <w:t>科学布局养殖业适养、限养、禁养区域，有效控制并减少环境污染。积极</w:t>
      </w:r>
      <w:r>
        <w:rPr>
          <w:rFonts w:hint="eastAsia" w:ascii="仿宋_GB2312"/>
          <w:szCs w:val="32"/>
        </w:rPr>
        <w:t>创建椰级乡村旅游点，大力发展乡村民宿，有机结合生态环境、乡风文明、休闲旅游与故土文化，打造具有万宁本土文化特色的生态型乡村产业融合旅游示范基地。</w:t>
      </w:r>
    </w:p>
    <w:bookmarkEnd w:id="70"/>
    <w:p>
      <w:pPr>
        <w:pStyle w:val="4"/>
      </w:pPr>
      <w:bookmarkStart w:id="71" w:name="_Toc152148735"/>
      <w:r>
        <w:rPr>
          <w:rFonts w:hint="eastAsia"/>
        </w:rPr>
        <w:t>3</w:t>
      </w:r>
      <w:r>
        <w:t xml:space="preserve">.5.4 </w:t>
      </w:r>
      <w:r>
        <w:rPr>
          <w:rFonts w:hint="eastAsia"/>
        </w:rPr>
        <w:t>积极推进海绵城市示范建设</w:t>
      </w:r>
      <w:bookmarkEnd w:id="71"/>
    </w:p>
    <w:p>
      <w:pPr>
        <w:ind w:firstLine="560"/>
      </w:pPr>
      <w:r>
        <w:t>以海绵城市建设标准规划建设</w:t>
      </w:r>
      <w:r>
        <w:rPr>
          <w:rFonts w:hint="eastAsia"/>
        </w:rPr>
        <w:t>万宁辖区内</w:t>
      </w:r>
      <w:r>
        <w:t>城镇、旅游度假区、产业园区，将雨水收集利用、可渗透面积、蓝线划定与保护等要求作为开发建设的前置条件。</w:t>
      </w:r>
      <w:r>
        <w:rPr>
          <w:rFonts w:hint="eastAsia"/>
        </w:rPr>
        <w:t>率先针对万宁市中心城区海绵城市建设的突出问题、城市开发建设特点以及不同片区的具体项目建设实施情况，根据海绵城市建设基础条件、生态空间格局等分析结果，确定近期建设区域。按照雨洪行泄通道建设、雨洪调蓄空间建设、合流制溢流污染控制、调蓄池建设、分散式污水处理厂建设、排水管网建设、城市海绵体建设及现状设施海绵化改造等，分类建立海绵城市建设项目库。通过项目库的逐步实施，以点带面，落实近期重点建设区域的海绵城市建设目标。根据近期建设过程中积累的工作经验，逐步推动老城区等问题较为复杂的其他区域滚动编制项目库，有序推进海绵城市的全面建设工作。</w:t>
      </w:r>
    </w:p>
    <w:p>
      <w:pPr>
        <w:pStyle w:val="4"/>
      </w:pPr>
      <w:bookmarkStart w:id="72" w:name="_Toc152148736"/>
      <w:r>
        <w:rPr>
          <w:rFonts w:hint="eastAsia"/>
        </w:rPr>
        <w:t>3</w:t>
      </w:r>
      <w:r>
        <w:t xml:space="preserve">.5.5 </w:t>
      </w:r>
      <w:r>
        <w:rPr>
          <w:rFonts w:hint="eastAsia"/>
        </w:rPr>
        <w:t>绿色生活方式</w:t>
      </w:r>
      <w:bookmarkEnd w:id="72"/>
    </w:p>
    <w:p>
      <w:pPr>
        <w:pStyle w:val="5"/>
      </w:pPr>
      <w:bookmarkStart w:id="73" w:name="_Toc134435577"/>
      <w:r>
        <w:t>3.5.5</w:t>
      </w:r>
      <w:r>
        <w:rPr>
          <w:rFonts w:hint="eastAsia"/>
        </w:rPr>
        <w:t>.</w:t>
      </w:r>
      <w:r>
        <w:t>1 严格</w:t>
      </w:r>
      <w:r>
        <w:rPr>
          <w:rFonts w:hint="eastAsia"/>
        </w:rPr>
        <w:t>执行</w:t>
      </w:r>
      <w:r>
        <w:t>绿色采购</w:t>
      </w:r>
      <w:bookmarkEnd w:id="73"/>
    </w:p>
    <w:p>
      <w:pPr>
        <w:ind w:firstLine="560"/>
        <w:rPr>
          <w:szCs w:val="28"/>
        </w:rPr>
      </w:pPr>
      <w:r>
        <w:rPr>
          <w:rFonts w:ascii="宋体" w:hAnsi="宋体"/>
          <w:szCs w:val="28"/>
        </w:rPr>
        <w:t>严格执行《国务院办公厅关于建立政府采购强制采购节能产品制度的通知》《关于环境标志产品政府采购实施的意见》和《财政部国家发展改革委关于印发节能产品政府采购实施意见的通知》等文件规定。加强对节能产品、环保产品采购工作的督促力度，在技术、服务等指标同等条件下，应当优先采购节能清单所列的节能产品，促进政府采购活动健康发展</w:t>
      </w:r>
      <w:r>
        <w:rPr>
          <w:rFonts w:hint="eastAsia" w:ascii="宋体" w:hAnsi="宋体"/>
          <w:szCs w:val="28"/>
        </w:rPr>
        <w:t>。</w:t>
      </w:r>
    </w:p>
    <w:p>
      <w:pPr>
        <w:pStyle w:val="5"/>
      </w:pPr>
      <w:bookmarkStart w:id="74" w:name="_Toc134435578"/>
      <w:r>
        <w:t xml:space="preserve">3.5.5.2 </w:t>
      </w:r>
      <w:r>
        <w:rPr>
          <w:rFonts w:hint="eastAsia"/>
        </w:rPr>
        <w:t>倡导绿色低碳生活</w:t>
      </w:r>
      <w:bookmarkEnd w:id="74"/>
    </w:p>
    <w:p>
      <w:pPr>
        <w:ind w:firstLine="560"/>
      </w:pPr>
      <w:r>
        <w:rPr>
          <w:rFonts w:hint="eastAsia"/>
        </w:rPr>
        <w:t>以简约适度、绿色低碳的生活方式为导向，深入实施“禁塑”，抵制过度消费、奢侈消费、浪费资源能源等行为，扩大绿色低碳产品供给和消费，建立绿色消费激励和回馈机制，实施碳普惠制度。大力宣传节能及绿色消费理念，鼓励公众转变传统消费方式，尽量选择节能节水绿色环保商品。尽快开展全市节能器具普及率统计工作，加强市场监管力度，严厉查处伪造、冒用认证标志行为。提高绿色产品市场占有率，引导绿色消费，加大财政补贴力度，大力推广节能灯、节能家电等节能、节水器具。鼓励</w:t>
      </w:r>
      <w:r>
        <w:t>能效标识2级以上的</w:t>
      </w:r>
      <w:r>
        <w:fldChar w:fldCharType="begin"/>
      </w:r>
      <w:r>
        <w:instrText xml:space="preserve"> HYPERLINK "http://www.askci.com/reports/2014/08/29/163131r886.shtml" \t "_blank" </w:instrText>
      </w:r>
      <w:r>
        <w:fldChar w:fldCharType="separate"/>
      </w:r>
      <w:r>
        <w:t>空调</w:t>
      </w:r>
      <w:r>
        <w:fldChar w:fldCharType="end"/>
      </w:r>
      <w:r>
        <w:t>、</w:t>
      </w:r>
      <w:r>
        <w:fldChar w:fldCharType="begin"/>
      </w:r>
      <w:r>
        <w:instrText xml:space="preserve"> HYPERLINK "http://www.askci.com/reports/2014/08/29/163228nufh.shtml" \t "_blank" </w:instrText>
      </w:r>
      <w:r>
        <w:fldChar w:fldCharType="separate"/>
      </w:r>
      <w:r>
        <w:t>冰箱</w:t>
      </w:r>
      <w:r>
        <w:fldChar w:fldCharType="end"/>
      </w:r>
      <w:r>
        <w:t>、</w:t>
      </w:r>
      <w:r>
        <w:fldChar w:fldCharType="begin"/>
      </w:r>
      <w:r>
        <w:instrText xml:space="preserve"> HYPERLINK "http://www.askci.com/reports/2014/08/29/1639114e30.shtml" \t "_blank" </w:instrText>
      </w:r>
      <w:r>
        <w:fldChar w:fldCharType="separate"/>
      </w:r>
      <w:r>
        <w:t>热水器</w:t>
      </w:r>
      <w:r>
        <w:fldChar w:fldCharType="end"/>
      </w:r>
      <w:r>
        <w:t>等节能</w:t>
      </w:r>
      <w:r>
        <w:fldChar w:fldCharType="begin"/>
      </w:r>
      <w:r>
        <w:instrText xml:space="preserve"> HYPERLINK "http://www.askci.com/reports/index121.html" \t "_blank" </w:instrText>
      </w:r>
      <w:r>
        <w:fldChar w:fldCharType="separate"/>
      </w:r>
      <w:r>
        <w:t>家电</w:t>
      </w:r>
      <w:r>
        <w:fldChar w:fldCharType="end"/>
      </w:r>
      <w:r>
        <w:t>市场</w:t>
      </w:r>
      <w:r>
        <w:rPr>
          <w:rFonts w:hint="eastAsia"/>
        </w:rPr>
        <w:t>推广</w:t>
      </w:r>
      <w:r>
        <w:t>。全面推进公共机构带头绿色消费，</w:t>
      </w:r>
      <w:r>
        <w:rPr>
          <w:rFonts w:hint="eastAsia"/>
        </w:rPr>
        <w:t>制定节能节水器具推广规定和措施，加强节水器具、绿色食品调查与市场监管工作，推进绿色食品试点示范项目，开展节能节水器具、绿色食品推广激励工程。</w:t>
      </w:r>
    </w:p>
    <w:p>
      <w:pPr>
        <w:pStyle w:val="5"/>
        <w:rPr>
          <w:rFonts w:cs="宋体"/>
          <w:kern w:val="0"/>
        </w:rPr>
      </w:pPr>
      <w:bookmarkStart w:id="75" w:name="_Toc134435579"/>
      <w:r>
        <w:t xml:space="preserve">3.5.5.3 </w:t>
      </w:r>
      <w:r>
        <w:rPr>
          <w:rFonts w:hint="eastAsia"/>
        </w:rPr>
        <w:t>推行绿色办公</w:t>
      </w:r>
      <w:bookmarkEnd w:id="75"/>
    </w:p>
    <w:p>
      <w:pPr>
        <w:autoSpaceDE w:val="0"/>
        <w:autoSpaceDN w:val="0"/>
        <w:ind w:firstLine="560"/>
        <w:rPr>
          <w:shd w:val="clear" w:color="auto" w:fill="FFFFFF"/>
        </w:rPr>
      </w:pPr>
      <w:r>
        <w:rPr>
          <w:rFonts w:hint="eastAsia" w:ascii="宋体" w:hAnsi="宋体" w:cs="宋体"/>
          <w:kern w:val="0"/>
          <w:szCs w:val="28"/>
        </w:rPr>
        <w:t>推行绿色办公方式，合理使用空调等电器设备。开展办公耗材回收利用，推行无纸化办公、视频会议等电子政务，减少一次性办公耗材用量。办公场所全面禁烟。强化节能管理，持续推进节约型公共机构示范单位创建工作，加大绿色低碳循环新技术、新产品推广示范力度，倡导节能管理专业化和社会化，引进专业节能服务公司参与公共机构日常管理。</w:t>
      </w:r>
    </w:p>
    <w:p>
      <w:pPr>
        <w:ind w:firstLine="562"/>
        <w:rPr>
          <w:b/>
          <w:bCs/>
        </w:rPr>
      </w:pPr>
    </w:p>
    <w:p>
      <w:pPr>
        <w:ind w:firstLine="562"/>
        <w:rPr>
          <w:b/>
          <w:bCs/>
        </w:rPr>
      </w:pPr>
    </w:p>
    <w:p>
      <w:pPr>
        <w:ind w:firstLine="562"/>
        <w:rPr>
          <w:b/>
          <w:bCs/>
        </w:rPr>
        <w:sectPr>
          <w:pgSz w:w="11906" w:h="16838"/>
          <w:pgMar w:top="1440" w:right="1797" w:bottom="1440" w:left="1797" w:header="851" w:footer="992" w:gutter="0"/>
          <w:cols w:space="720" w:num="1"/>
          <w:docGrid w:linePitch="381" w:charSpace="0"/>
        </w:sectPr>
      </w:pPr>
    </w:p>
    <w:p>
      <w:pPr>
        <w:pStyle w:val="3"/>
      </w:pPr>
      <w:bookmarkStart w:id="76" w:name="_Toc152148737"/>
      <w:r>
        <w:rPr>
          <w:rFonts w:hint="eastAsia"/>
        </w:rPr>
        <w:t>3</w:t>
      </w:r>
      <w:r>
        <w:t xml:space="preserve">.6 </w:t>
      </w:r>
      <w:r>
        <w:rPr>
          <w:rFonts w:hint="eastAsia"/>
        </w:rPr>
        <w:t>倡导生态文化，建设人文万宁</w:t>
      </w:r>
      <w:bookmarkEnd w:id="76"/>
    </w:p>
    <w:p>
      <w:pPr>
        <w:pStyle w:val="4"/>
      </w:pPr>
      <w:bookmarkStart w:id="77" w:name="_Toc152148738"/>
      <w:r>
        <w:rPr>
          <w:rFonts w:hint="eastAsia"/>
        </w:rPr>
        <w:t>3</w:t>
      </w:r>
      <w:r>
        <w:t xml:space="preserve">.6.1 </w:t>
      </w:r>
      <w:r>
        <w:rPr>
          <w:rFonts w:hint="eastAsia"/>
        </w:rPr>
        <w:t>培育特色生态文化品牌</w:t>
      </w:r>
      <w:bookmarkEnd w:id="77"/>
    </w:p>
    <w:p>
      <w:pPr>
        <w:autoSpaceDE w:val="0"/>
        <w:autoSpaceDN w:val="0"/>
        <w:ind w:firstLine="562"/>
        <w:rPr>
          <w:rFonts w:ascii="宋体" w:hAnsi="宋体" w:cs="仿宋_GB2312"/>
          <w:szCs w:val="28"/>
        </w:rPr>
      </w:pPr>
      <w:r>
        <w:rPr>
          <w:rFonts w:ascii="宋体" w:hAnsi="宋体" w:cs="仿宋_GB2312"/>
          <w:b/>
          <w:szCs w:val="28"/>
        </w:rPr>
        <w:t>乡村</w:t>
      </w:r>
      <w:r>
        <w:rPr>
          <w:rFonts w:hint="eastAsia" w:ascii="宋体" w:hAnsi="宋体" w:cs="仿宋_GB2312"/>
          <w:b/>
          <w:szCs w:val="28"/>
        </w:rPr>
        <w:t>特色</w:t>
      </w:r>
      <w:r>
        <w:rPr>
          <w:rFonts w:ascii="宋体" w:hAnsi="宋体" w:cs="仿宋_GB2312"/>
          <w:b/>
          <w:szCs w:val="28"/>
        </w:rPr>
        <w:t>生态文化建设</w:t>
      </w:r>
      <w:r>
        <w:rPr>
          <w:rFonts w:hint="eastAsia" w:ascii="宋体" w:hAnsi="宋体" w:cs="仿宋_GB2312"/>
          <w:b/>
          <w:szCs w:val="28"/>
        </w:rPr>
        <w:t>。</w:t>
      </w:r>
      <w:r>
        <w:rPr>
          <w:rFonts w:hint="eastAsia" w:ascii="宋体" w:hAnsi="宋体" w:cs="仿宋_GB2312"/>
          <w:szCs w:val="28"/>
        </w:rPr>
        <w:t>结合“乡村振兴战略”，建设留得住乡愁的文化旅游特色村。加强乡村原生态风貌保护，推进乡村公共设施改造提升。推进加强乡村非遗保护，鼓励建设乡村民俗馆和村史馆。加强保护东方村、扶峰村、贡举村等多处具有历史文化特色的传统村落，加强对其村落整体格局和村内历史民居的保护。加强对传统村落文化挖掘，在严格保护村落整体格局和历史民居的基础上，积极引导特色观光旅游发展。</w:t>
      </w:r>
    </w:p>
    <w:p>
      <w:pPr>
        <w:ind w:firstLine="562"/>
      </w:pPr>
      <w:bookmarkStart w:id="78" w:name="_Toc119678716"/>
      <w:r>
        <w:rPr>
          <w:rFonts w:hint="eastAsia" w:cs="楷体_GB2312"/>
          <w:b/>
        </w:rPr>
        <w:t>精心呵护生态</w:t>
      </w:r>
      <w:r>
        <w:rPr>
          <w:rFonts w:cs="楷体_GB2312"/>
          <w:b/>
        </w:rPr>
        <w:t>历史文化遗产</w:t>
      </w:r>
      <w:bookmarkEnd w:id="78"/>
      <w:r>
        <w:rPr>
          <w:rFonts w:hint="eastAsia" w:cs="楷体_GB2312"/>
          <w:b/>
        </w:rPr>
        <w:t>。</w:t>
      </w:r>
      <w:r>
        <w:rPr>
          <w:rFonts w:hint="eastAsia"/>
        </w:rPr>
        <w:t>万宁市全域</w:t>
      </w:r>
      <w:r>
        <w:t>构建历史城区、历史文化名镇名村、重要传统村落、历史文化街区、历史地段、文物保护单位及不可移动文物、历史建筑、非物质文化遗产在内的历史文化保护体系，加强开发特色历史地段和建筑的保护。</w:t>
      </w:r>
      <w:r>
        <w:rPr>
          <w:rFonts w:hint="eastAsia"/>
        </w:rPr>
        <w:t>严格保护东山岭摩崖石刻群、青云塔、潮州会馆、荆王太子墓、万安州城址、曲冲文氏宗祠、许敦仁故居、踏头遗址、六连岭革命根据地旧址等9处省级文物保护单位和许敦仁墓、钟家宅、万城革命烈士陵园等48处市级文物保护单位。</w:t>
      </w:r>
    </w:p>
    <w:p>
      <w:pPr>
        <w:ind w:firstLine="562"/>
        <w:rPr>
          <w:rFonts w:ascii="宋体" w:hAnsi="宋体" w:cs="仿宋_GB2312"/>
          <w:kern w:val="0"/>
          <w:szCs w:val="28"/>
        </w:rPr>
      </w:pPr>
      <w:r>
        <w:rPr>
          <w:rFonts w:ascii="宋体" w:hAnsi="宋体" w:cs="仿宋_GB2312"/>
          <w:b/>
          <w:bCs/>
          <w:kern w:val="0"/>
          <w:szCs w:val="28"/>
        </w:rPr>
        <w:t>加强对</w:t>
      </w:r>
      <w:r>
        <w:rPr>
          <w:rFonts w:hint="eastAsia" w:ascii="宋体" w:hAnsi="宋体" w:cs="仿宋_GB2312"/>
          <w:b/>
          <w:bCs/>
          <w:kern w:val="0"/>
          <w:szCs w:val="28"/>
        </w:rPr>
        <w:t>生态</w:t>
      </w:r>
      <w:r>
        <w:rPr>
          <w:rFonts w:ascii="宋体" w:hAnsi="宋体" w:cs="仿宋_GB2312"/>
          <w:b/>
          <w:bCs/>
          <w:kern w:val="0"/>
          <w:szCs w:val="28"/>
        </w:rPr>
        <w:t>非物质文化遗产的保护和传承。</w:t>
      </w:r>
      <w:r>
        <w:rPr>
          <w:rFonts w:hint="eastAsia" w:ascii="宋体" w:hAnsi="宋体" w:cs="仿宋_GB2312"/>
          <w:kern w:val="0"/>
          <w:szCs w:val="28"/>
        </w:rPr>
        <w:t>建立健全非物质文化遗产和优秀传统文化的保护体系，保护后安刀锻造手工技艺省级非物质文化遗产和竹器编织手</w:t>
      </w:r>
      <w:r>
        <w:rPr>
          <w:kern w:val="0"/>
          <w:szCs w:val="28"/>
        </w:rPr>
        <w:t>工技艺、盐墩煮盐手工技艺、放花灯习俗、军坡节、舞龙习俗、钱铃双刀舞等6项市级非物</w:t>
      </w:r>
      <w:r>
        <w:rPr>
          <w:rFonts w:hint="eastAsia" w:ascii="宋体" w:hAnsi="宋体" w:cs="仿宋_GB2312"/>
          <w:kern w:val="0"/>
          <w:szCs w:val="28"/>
        </w:rPr>
        <w:t>质文化遗产。</w:t>
      </w:r>
    </w:p>
    <w:p>
      <w:pPr>
        <w:pStyle w:val="4"/>
      </w:pPr>
      <w:bookmarkStart w:id="79" w:name="_Toc152148739"/>
      <w:r>
        <w:rPr>
          <w:rFonts w:hint="eastAsia"/>
        </w:rPr>
        <w:t>3</w:t>
      </w:r>
      <w:r>
        <w:t xml:space="preserve">.6.2 </w:t>
      </w:r>
      <w:r>
        <w:rPr>
          <w:rFonts w:hint="eastAsia"/>
        </w:rPr>
        <w:t>完善生态文化载体建设</w:t>
      </w:r>
      <w:bookmarkEnd w:id="79"/>
    </w:p>
    <w:p>
      <w:pPr>
        <w:pStyle w:val="5"/>
      </w:pPr>
      <w:bookmarkStart w:id="80" w:name="_Toc134435586"/>
      <w:r>
        <w:t xml:space="preserve">3.6.2.1 </w:t>
      </w:r>
      <w:r>
        <w:rPr>
          <w:rFonts w:hint="eastAsia"/>
        </w:rPr>
        <w:t>建设生态文化宣传教育基地</w:t>
      </w:r>
      <w:bookmarkEnd w:id="80"/>
    </w:p>
    <w:p>
      <w:pPr>
        <w:ind w:firstLine="560"/>
      </w:pPr>
      <w:r>
        <w:rPr>
          <w:rFonts w:hint="eastAsia"/>
        </w:rPr>
        <w:t>以大茂镇联光村和东澳镇分洪村2个中国传统村落、六连岭革命根据地旧址和万城革命烈士陵园等2个红色资源、青皮林自然保护区的热带雨林、以及兴隆为代表的侨乡文化为依托，建立一批生态科普教育基地、生态文明示范教育基地。以气候变化、动植物资源、水源保护利用以及历史文化等为主线积极开展生态文化宣教活动。以低碳示范区、生态农业生产基地和垃圾无害化处理中心等为载体，构建区域生态文化交流的平台。规范科普教育基地，增加生态文化宣传内容，抓好培训教育，使其真正发挥环境教育的平台和载体作用。</w:t>
      </w:r>
    </w:p>
    <w:p>
      <w:pPr>
        <w:pStyle w:val="5"/>
      </w:pPr>
      <w:bookmarkStart w:id="81" w:name="_Toc134435587"/>
      <w:r>
        <w:t xml:space="preserve">3.6.2.2 </w:t>
      </w:r>
      <w:r>
        <w:rPr>
          <w:rFonts w:hint="eastAsia"/>
        </w:rPr>
        <w:t>建设生态文明教育阵地</w:t>
      </w:r>
      <w:bookmarkEnd w:id="81"/>
    </w:p>
    <w:p>
      <w:pPr>
        <w:ind w:firstLine="560"/>
      </w:pPr>
      <w:r>
        <w:rPr>
          <w:rFonts w:hint="eastAsia"/>
        </w:rPr>
        <w:t>利用生态环境保护等部门环保监测站点，与主城区、兴隆等有关学校共同建设区级生态文明教育点，加速推进集科普培训、宣传教育、文艺演出、体育健身以及农家书屋、道德讲堂等功能于一体的乡村综合性生态文化服务中心建设。进一步发展壮大基层文艺组织，带领广大农民参与生态文化活动，开展生态文化创造，推动农村文化事业深入发展。进一步扩大广场文化活动的影响，广泛开展“城村文化大互动”，让生态文化走进前台，最大限度激发群众参与活动的积极性和创造性。深入推进基层综合文旅体服务建设，积极鼓励申报旅游文化特色村。</w:t>
      </w:r>
    </w:p>
    <w:p>
      <w:pPr>
        <w:pStyle w:val="5"/>
      </w:pPr>
      <w:bookmarkStart w:id="82" w:name="_Toc134435588"/>
      <w:r>
        <w:t xml:space="preserve">3.6.2.3 </w:t>
      </w:r>
      <w:r>
        <w:rPr>
          <w:rFonts w:hint="eastAsia"/>
        </w:rPr>
        <w:t>加强公共文化基础设施建设</w:t>
      </w:r>
      <w:bookmarkEnd w:id="82"/>
    </w:p>
    <w:p>
      <w:pPr>
        <w:ind w:firstLine="560"/>
      </w:pPr>
      <w:r>
        <w:rPr>
          <w:rFonts w:hint="eastAsia"/>
        </w:rPr>
        <w:t>加强基层文化服务设施建设全方位保障，推进农村文化活动中心、文化广场等建设，实现全区基层综合性文化服务中心基本覆盖。突出生态文化公共服务职能，推动公共文化服务向社区和农村延伸。提高万宁智慧图书馆和博物馆的科技含量和展陈水平，提升现有文化馆、规划馆等展馆的品味和数字化程度，使之在生态文化建设方面发挥更大作用。依托公共文化设施，大力开展讲座、论坛和培训等生态文化活动，鼓励社会力量兴办公共文化设施和捐助公益性文化事业，积极推进各文化中心重点项目建设。</w:t>
      </w:r>
    </w:p>
    <w:p>
      <w:pPr>
        <w:pStyle w:val="4"/>
      </w:pPr>
      <w:bookmarkStart w:id="83" w:name="_Toc152148740"/>
      <w:r>
        <w:rPr>
          <w:rFonts w:hint="eastAsia"/>
        </w:rPr>
        <w:t>3</w:t>
      </w:r>
      <w:r>
        <w:t xml:space="preserve">.6.3 </w:t>
      </w:r>
      <w:r>
        <w:rPr>
          <w:rFonts w:hint="eastAsia"/>
        </w:rPr>
        <w:t>完善生态文明教育体系</w:t>
      </w:r>
      <w:bookmarkEnd w:id="83"/>
    </w:p>
    <w:p>
      <w:pPr>
        <w:ind w:firstLine="562"/>
      </w:pPr>
      <w:r>
        <w:rPr>
          <w:rFonts w:hint="eastAsia"/>
          <w:b/>
          <w:bCs/>
        </w:rPr>
        <w:t>强化政治引领，深入加强生态文明教育。</w:t>
      </w:r>
      <w:r>
        <w:rPr>
          <w:rFonts w:hint="eastAsia"/>
        </w:rPr>
        <w:t>以深入学习宣传习近平生态文明思想作为核心任务，将生态文明纳入党校、行政学院教学计划和党政干部培训体系中，在领导干部教育培训中设置生态环境保护专题，提高生态文明建设培训频率，推进万宁市领导干部生态文明教育培训常态化。组织开展党政领导干部培训宣传活动，加强新入职公务员生态文化培训，在初任培训设置环保法律法规政策培训、绿色管理思想教育、绿色消费教育等生态文明相关内容，深入推进生态环境保护职业教育发展。</w:t>
      </w:r>
    </w:p>
    <w:p>
      <w:pPr>
        <w:ind w:firstLine="562"/>
      </w:pPr>
      <w:r>
        <w:rPr>
          <w:rFonts w:hint="eastAsia"/>
          <w:b/>
          <w:bCs/>
        </w:rPr>
        <w:t>加强学校生态行为意识教育。</w:t>
      </w:r>
      <w:r>
        <w:rPr>
          <w:rFonts w:hint="eastAsia"/>
        </w:rPr>
        <w:t>将生态文明纳入到教师业务培训，制定差异化生态文化教育方式，鼓励教师针对不同年龄层次学生特点将生态教育融入到日常教学中。借助主题班会活动，开展森林、河湖和粮食保护等教育，普及垃圾分类和河湖长制等知识内容，引导学生了解、感悟生态文明建设的重要性。鼓励万宁各校邀请相关领域专家学者、志愿者等走进校园，开展碳达峰碳中和、生物多样性和野生动植物保护等生态文明知识普及活动，提高中小学生参与保护生态环境活动的兴趣和热情。</w:t>
      </w:r>
    </w:p>
    <w:p>
      <w:pPr>
        <w:ind w:firstLine="562"/>
      </w:pPr>
      <w:r>
        <w:rPr>
          <w:rFonts w:hint="eastAsia"/>
          <w:b/>
          <w:bCs/>
        </w:rPr>
        <w:t>积极扩大宣传教育覆盖面。</w:t>
      </w:r>
      <w:r>
        <w:rPr>
          <w:rFonts w:hint="eastAsia"/>
        </w:rPr>
        <w:t>强化企业生态文化教育，对各大企业定期进行企业法人的生态文明教育培训。开展企业绿色技术培训，重点培训与企业节能减排、清洁生产有关的绿色环保技术和管理方法，鼓励企业进行技术改造和创新。鼓励排污企业通过深化环保设施开放、开设环保课堂和开展生态文明公益活动等形式，向公众提供生态文明宣传教育服务。加强普通群众的生态文明教育，利用读书节、艺术节和社区文化节等文化活动大力普及生态知识，聘请有关专家学者、环保人士等进行环保知识宣讲，实现生态文明宣传教育进农村、进社区，使生态文明理念入耳、入脑、入心。</w:t>
      </w:r>
    </w:p>
    <w:p>
      <w:pPr>
        <w:pStyle w:val="4"/>
      </w:pPr>
      <w:bookmarkStart w:id="84" w:name="_Toc152148741"/>
      <w:r>
        <w:rPr>
          <w:rFonts w:hint="eastAsia"/>
        </w:rPr>
        <w:t>3</w:t>
      </w:r>
      <w:r>
        <w:t xml:space="preserve">.6.4 </w:t>
      </w:r>
      <w:r>
        <w:rPr>
          <w:rFonts w:hint="eastAsia"/>
        </w:rPr>
        <w:t>推动生态文明共建共享</w:t>
      </w:r>
      <w:bookmarkEnd w:id="84"/>
    </w:p>
    <w:p>
      <w:pPr>
        <w:pStyle w:val="5"/>
      </w:pPr>
      <w:bookmarkStart w:id="85" w:name="_Toc134435590"/>
      <w:r>
        <w:t xml:space="preserve">3.6.4.1 </w:t>
      </w:r>
      <w:r>
        <w:rPr>
          <w:rFonts w:hint="eastAsia"/>
        </w:rPr>
        <w:t>大力推动绿色创建</w:t>
      </w:r>
      <w:bookmarkEnd w:id="85"/>
    </w:p>
    <w:p>
      <w:pPr>
        <w:ind w:firstLine="560"/>
      </w:pPr>
      <w:r>
        <w:rPr>
          <w:rFonts w:hint="eastAsia"/>
        </w:rPr>
        <w:t>节约型机关创建。健全节约能源资源管理制度，鼓励公共机构重点用能单位建立能源资源在线监测系统，提高能源资源利用效率；推行绿色办公，鼓励公共机构推进无纸化办公、节能节水改造和使用合同能源管理模式进行节能改造；率先全面实施生活垃圾分类制度，加强党政机关生活垃圾分类源头减量及精准投放专项工作；组织开展节约能源资源宣传实践活动，将节能、节水、垃圾分类、碳达峰碳中和等内容纳入干部职工培训体系，探索开展全区绿色公共机构评价工作。</w:t>
      </w:r>
    </w:p>
    <w:p>
      <w:pPr>
        <w:ind w:firstLine="560"/>
      </w:pPr>
      <w:r>
        <w:rPr>
          <w:rFonts w:hint="eastAsia"/>
        </w:rPr>
        <w:t>绿色学校创建。开展生态文明教育，在教育教学活动中融入生态文明、绿色发展和资源节约等相关知识，利用校内外线上线下宣传平台定期开展生态文明知识宣传，组织师生参与节约能源、环境保护等绿色实践活动。引导校园新建建筑按照绿色建筑标准要求进行设计、建造，有序推进既有建筑绿色化改造，建立学校能源资源计量管理办法及能源资源消耗情况的计量与公示制度。</w:t>
      </w:r>
    </w:p>
    <w:p>
      <w:pPr>
        <w:ind w:firstLine="560"/>
      </w:pPr>
      <w:r>
        <w:rPr>
          <w:rFonts w:hint="eastAsia"/>
        </w:rPr>
        <w:t>绿色社区创建。以城市社区为创建对象，开展绿色社区创建行动，将绿色发展理念贯穿社区设计、建设、管理和服务等活动的全过程，建立健全社区人居环境建设和整治机制，推进社区基础设施绿色化。提高社区信息化智能化水平，开展绿色生活主题宣传教育，以简约适度、绿色低碳的方式，推进社区人居环境建设和整治。</w:t>
      </w:r>
    </w:p>
    <w:p>
      <w:pPr>
        <w:ind w:firstLine="560"/>
      </w:pPr>
      <w:r>
        <w:rPr>
          <w:rFonts w:hint="eastAsia"/>
          <w:bCs/>
        </w:rPr>
        <w:t>扶持</w:t>
      </w:r>
      <w:r>
        <w:rPr>
          <w:bCs/>
        </w:rPr>
        <w:t>绿色创建示范基地</w:t>
      </w:r>
      <w:r>
        <w:rPr>
          <w:rFonts w:hint="eastAsia"/>
          <w:bCs/>
        </w:rPr>
        <w:t>。</w:t>
      </w:r>
      <w:r>
        <w:t>对环境友好型企业、绿色社区给予政策扶持，对创建活动及基地建设进行全程督促、指导，在培训组织、示范宣传、基础设施建设等方面给予资金、技术支持。</w:t>
      </w:r>
      <w:bookmarkStart w:id="86" w:name="_Toc134435591"/>
      <w:r>
        <w:rPr>
          <w:rFonts w:hint="eastAsia"/>
        </w:rPr>
        <w:t>重点优化槟榔、椰子、橡胶、沉香等布局，推动农业规模化、产业化、品牌化、做强万宁农业特色品牌。</w:t>
      </w:r>
    </w:p>
    <w:p>
      <w:pPr>
        <w:pStyle w:val="5"/>
      </w:pPr>
      <w:r>
        <w:t xml:space="preserve">3.6.4.2 </w:t>
      </w:r>
      <w:r>
        <w:rPr>
          <w:rFonts w:hint="eastAsia"/>
        </w:rPr>
        <w:t>促进行业环保自律</w:t>
      </w:r>
      <w:bookmarkEnd w:id="86"/>
    </w:p>
    <w:p>
      <w:pPr>
        <w:ind w:firstLine="560"/>
      </w:pPr>
      <w:r>
        <w:rPr>
          <w:rFonts w:hint="eastAsia"/>
        </w:rPr>
        <w:t>推动行业协会、商会发挥桥梁纽带作用，促进行业环保自律，强化对企业生态环境行为的正向引导，积极推广应用绿色生产技术，推动形成资源节约、环境友好的行业秩序。创建一批绿色消费示范点，促进商家有效落实各项节能措施。大力推动绿色销售，转变企业传统经营方式，以提供服务代替提供产品，建立精益销售体系，达到节约资源目的。</w:t>
      </w:r>
    </w:p>
    <w:p>
      <w:pPr>
        <w:pStyle w:val="5"/>
      </w:pPr>
      <w:bookmarkStart w:id="87" w:name="_Toc134435592"/>
      <w:r>
        <w:t xml:space="preserve">3.6.4.3 </w:t>
      </w:r>
      <w:r>
        <w:rPr>
          <w:rFonts w:hint="eastAsia"/>
        </w:rPr>
        <w:t>鼓励社会组织参与</w:t>
      </w:r>
      <w:bookmarkEnd w:id="87"/>
    </w:p>
    <w:p>
      <w:pPr>
        <w:ind w:firstLine="560"/>
      </w:pPr>
      <w:r>
        <w:rPr>
          <w:rFonts w:hint="eastAsia"/>
        </w:rPr>
        <w:t>鼓励社会组织参与规范和完善公众参与制度，畅通参与渠道，鼓励非政府组织和公民积极参与生态文明建设和社会公益活动。积极扶持各类生态环保类社会组织，强化社会组织自律诚信体系建设，支持具备资格的环保组织依法开展生态环境公益诉讼等活动，不断提高社会组织法人治理、自主运营和参与环境治理的能力。加强农村生态环境组织建设，为整体推进新农村生态文化建设提供载体和平台。加大对农村环保组织建立的支持和引导力度，乡镇统筹，以村为单位发展生态环境保护组织以及环境志愿者组织，构建农村生态文化支撑组织网络体系。</w:t>
      </w:r>
    </w:p>
    <w:p>
      <w:pPr>
        <w:pStyle w:val="5"/>
      </w:pPr>
      <w:bookmarkStart w:id="88" w:name="_Toc134435593"/>
      <w:r>
        <w:t xml:space="preserve">3.6.4.4 </w:t>
      </w:r>
      <w:r>
        <w:rPr>
          <w:rFonts w:hint="eastAsia"/>
        </w:rPr>
        <w:t>积极推进公众参与</w:t>
      </w:r>
      <w:bookmarkEnd w:id="88"/>
    </w:p>
    <w:p>
      <w:pPr>
        <w:ind w:firstLine="560"/>
      </w:pPr>
      <w:r>
        <w:rPr>
          <w:rFonts w:hint="eastAsia"/>
        </w:rPr>
        <w:t>充分发挥工会、共青团、妇联等群团组织的作用，调动广大职工、青年、妇女等公众积极性，广泛开展生态文明公益活动。不断壮大生态环保志愿者队伍，引导生态环保社会组织规范化发展，引导公众参与生态环保事业。建立生态文明建设公众论坛，引导环保志愿者扎实有效推进生态公益活动。提升全民生态自觉性，建立健全绿色行动体系，广泛开展绿色生活行动，倡导餐饮企业、学校、单位食堂等全面推行“光盘”行动，动员全民形成勤俭节约、绿色低碳、文明健康的生活方式，提高公众对生态文明建设的满意度和参与度。</w:t>
      </w:r>
    </w:p>
    <w:p>
      <w:pPr>
        <w:ind w:firstLine="560"/>
      </w:pPr>
    </w:p>
    <w:p>
      <w:pPr>
        <w:ind w:firstLine="560"/>
      </w:pPr>
    </w:p>
    <w:p>
      <w:pPr>
        <w:ind w:firstLine="560"/>
      </w:pPr>
    </w:p>
    <w:p>
      <w:pPr>
        <w:ind w:firstLine="560"/>
      </w:pPr>
    </w:p>
    <w:p>
      <w:pPr>
        <w:ind w:firstLine="560"/>
      </w:pPr>
    </w:p>
    <w:p>
      <w:pPr>
        <w:widowControl/>
        <w:adjustRightInd/>
        <w:snapToGrid/>
        <w:spacing w:line="240" w:lineRule="auto"/>
        <w:ind w:firstLine="0" w:firstLineChars="0"/>
        <w:jc w:val="left"/>
        <w:rPr>
          <w:rFonts w:cstheme="majorBidi"/>
          <w:b/>
          <w:bCs/>
          <w:sz w:val="32"/>
          <w:szCs w:val="32"/>
        </w:rPr>
      </w:pPr>
      <w:r>
        <w:br w:type="page"/>
      </w:r>
    </w:p>
    <w:p>
      <w:pPr>
        <w:pStyle w:val="2"/>
      </w:pPr>
      <w:bookmarkStart w:id="89" w:name="_Toc152148742"/>
      <w:r>
        <w:rPr>
          <w:rFonts w:hint="eastAsia"/>
        </w:rPr>
        <w:t>4</w:t>
      </w:r>
      <w:r>
        <w:t xml:space="preserve">. </w:t>
      </w:r>
      <w:r>
        <w:rPr>
          <w:rFonts w:hint="eastAsia"/>
        </w:rPr>
        <w:t>重点工程与效益分析</w:t>
      </w:r>
      <w:bookmarkEnd w:id="89"/>
    </w:p>
    <w:p>
      <w:pPr>
        <w:pStyle w:val="3"/>
      </w:pPr>
      <w:bookmarkStart w:id="90" w:name="_Toc152148743"/>
      <w:r>
        <w:rPr>
          <w:rFonts w:hint="eastAsia"/>
        </w:rPr>
        <w:t>4</w:t>
      </w:r>
      <w:r>
        <w:t xml:space="preserve">.1 </w:t>
      </w:r>
      <w:r>
        <w:rPr>
          <w:rFonts w:hint="eastAsia"/>
        </w:rPr>
        <w:t>工程内容与投资估算</w:t>
      </w:r>
      <w:bookmarkEnd w:id="90"/>
    </w:p>
    <w:p>
      <w:pPr>
        <w:ind w:firstLine="560"/>
      </w:pPr>
      <w:r>
        <w:rPr>
          <w:rFonts w:hint="eastAsia"/>
        </w:rPr>
        <w:t>坚持以项目落实规划，结合万宁市开展生态文明建设的优劣势，重点针对万宁市生态文明示范区建设指标中未达标指标，20</w:t>
      </w:r>
      <w:r>
        <w:t>23</w:t>
      </w:r>
      <w:r>
        <w:rPr>
          <w:rFonts w:hint="eastAsia"/>
        </w:rPr>
        <w:t>年至202</w:t>
      </w:r>
      <w:r>
        <w:t>5</w:t>
      </w:r>
      <w:r>
        <w:rPr>
          <w:rFonts w:hint="eastAsia"/>
        </w:rPr>
        <w:t>年，规划重点工程项目</w:t>
      </w:r>
      <w:r>
        <w:t>24</w:t>
      </w:r>
      <w:r>
        <w:rPr>
          <w:rFonts w:hint="eastAsia"/>
        </w:rPr>
        <w:t>项，总投资估算</w:t>
      </w:r>
      <w:r>
        <w:t>37.71</w:t>
      </w:r>
      <w:r>
        <w:rPr>
          <w:rFonts w:hint="eastAsia"/>
        </w:rPr>
        <w:t>亿元（表</w:t>
      </w:r>
      <w:r>
        <w:t>4</w:t>
      </w:r>
      <w:r>
        <w:rPr>
          <w:rFonts w:hint="eastAsia"/>
        </w:rPr>
        <w:t>-</w:t>
      </w:r>
      <w:r>
        <w:t>1</w:t>
      </w:r>
      <w:r>
        <w:rPr>
          <w:rFonts w:hint="eastAsia"/>
        </w:rPr>
        <w:t>）。202</w:t>
      </w:r>
      <w:r>
        <w:t>6</w:t>
      </w:r>
      <w:r>
        <w:rPr>
          <w:rFonts w:hint="eastAsia"/>
        </w:rPr>
        <w:t>-20</w:t>
      </w:r>
      <w:r>
        <w:t>30</w:t>
      </w:r>
      <w:r>
        <w:rPr>
          <w:rFonts w:hint="eastAsia"/>
        </w:rPr>
        <w:t>年，规划引导性重点项目</w:t>
      </w:r>
      <w:r>
        <w:t>13</w:t>
      </w:r>
      <w:r>
        <w:rPr>
          <w:rFonts w:hint="eastAsia"/>
        </w:rPr>
        <w:t>项，总投资估算</w:t>
      </w:r>
      <w:r>
        <w:t>28.93</w:t>
      </w:r>
      <w:r>
        <w:rPr>
          <w:rFonts w:hint="eastAsia"/>
        </w:rPr>
        <w:t>亿元（表</w:t>
      </w:r>
      <w:r>
        <w:t>4</w:t>
      </w:r>
      <w:r>
        <w:rPr>
          <w:rFonts w:hint="eastAsia"/>
        </w:rPr>
        <w:t>-</w:t>
      </w:r>
      <w:r>
        <w:t>2</w:t>
      </w:r>
      <w:r>
        <w:rPr>
          <w:rFonts w:hint="eastAsia"/>
        </w:rPr>
        <w:t>）。</w:t>
      </w:r>
    </w:p>
    <w:p>
      <w:pPr>
        <w:ind w:firstLine="560"/>
      </w:pPr>
      <w:r>
        <w:rPr>
          <w:rFonts w:hint="eastAsia"/>
        </w:rPr>
        <w:t>在规划实施当中，要建立健全项目实施机制，深化前期研究论证，规范手续办理，提高审批效率，加强协调调度，切实发挥重大工程项目的示范作用，以点带面，全面实施，系统有效推进生态文明建设，确保生态文明建设规划总体目标实现。</w:t>
      </w:r>
    </w:p>
    <w:p>
      <w:pPr>
        <w:ind w:firstLine="560"/>
      </w:pPr>
    </w:p>
    <w:p>
      <w:pPr>
        <w:ind w:firstLine="560"/>
      </w:pPr>
    </w:p>
    <w:p>
      <w:pPr>
        <w:ind w:firstLine="560"/>
      </w:pPr>
    </w:p>
    <w:p>
      <w:pPr>
        <w:ind w:firstLine="560"/>
        <w:sectPr>
          <w:pgSz w:w="11906" w:h="16838"/>
          <w:pgMar w:top="1440" w:right="1797" w:bottom="1440" w:left="1797" w:header="851" w:footer="992" w:gutter="0"/>
          <w:cols w:space="720" w:num="1"/>
          <w:docGrid w:linePitch="381" w:charSpace="0"/>
        </w:sectPr>
      </w:pPr>
    </w:p>
    <w:p>
      <w:pPr>
        <w:ind w:firstLine="562"/>
        <w:jc w:val="center"/>
        <w:rPr>
          <w:b/>
          <w:szCs w:val="28"/>
        </w:rPr>
      </w:pPr>
      <w:bookmarkStart w:id="91" w:name="_Hlk152049334"/>
      <w:r>
        <w:rPr>
          <w:b/>
          <w:szCs w:val="28"/>
        </w:rPr>
        <w:t>表4-1  生态</w:t>
      </w:r>
      <w:r>
        <w:rPr>
          <w:rFonts w:hint="eastAsia"/>
          <w:b/>
          <w:szCs w:val="28"/>
        </w:rPr>
        <w:t>文明建设示范区近期</w:t>
      </w:r>
      <w:r>
        <w:rPr>
          <w:b/>
          <w:szCs w:val="28"/>
        </w:rPr>
        <w:t>建设重点工程</w:t>
      </w:r>
    </w:p>
    <w:tbl>
      <w:tblPr>
        <w:tblStyle w:val="28"/>
        <w:tblW w:w="13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4"/>
        <w:gridCol w:w="1489"/>
        <w:gridCol w:w="35"/>
        <w:gridCol w:w="1525"/>
        <w:gridCol w:w="6237"/>
        <w:gridCol w:w="1134"/>
        <w:gridCol w:w="113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tblHeader/>
          <w:jc w:val="center"/>
        </w:trPr>
        <w:tc>
          <w:tcPr>
            <w:tcW w:w="77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bookmarkStart w:id="92" w:name="_Hlk152050513"/>
            <w:r>
              <w:rPr>
                <w:rFonts w:cs="宋体"/>
                <w:kern w:val="0"/>
                <w:sz w:val="21"/>
                <w:szCs w:val="21"/>
              </w:rPr>
              <w:t>序号</w:t>
            </w: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项目名称</w:t>
            </w:r>
          </w:p>
        </w:tc>
        <w:tc>
          <w:tcPr>
            <w:tcW w:w="6237"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项目内容</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投资</w:t>
            </w:r>
            <w:r>
              <w:rPr>
                <w:rFonts w:hint="eastAsia" w:cs="宋体"/>
                <w:kern w:val="0"/>
                <w:sz w:val="21"/>
                <w:szCs w:val="21"/>
              </w:rPr>
              <w:t>估算</w:t>
            </w:r>
            <w:r>
              <w:rPr>
                <w:rFonts w:cs="宋体"/>
                <w:kern w:val="0"/>
                <w:sz w:val="21"/>
                <w:szCs w:val="21"/>
              </w:rPr>
              <w:t>（万元）</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计划建设周期</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6"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大气污染防治精细化管控</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开展大气污染源来源解析，编制万宁市大气污染源排放清单，建立健全污染天气应急预案，提升环境空气预警应急响应能力</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56</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6"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大气污染源治理</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建设槟榔熏烤、烟花爆竹、扬尘、餐饮油烟的监管体系，完善秸秆收储体系，推进秸秆综合利用。持续开展清理传统土法熏烤槟榔专项行动</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3</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市生态环境局、市自然资源和规划局、市交通运输局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加强饮用水水源地保护工程</w:t>
            </w:r>
          </w:p>
        </w:tc>
        <w:tc>
          <w:tcPr>
            <w:tcW w:w="6237" w:type="dxa"/>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开展饮用水水源保护区规范化建设，强化农村集中式饮用水水源地周边环境卫生整治，重新划定农村集中式饮用水水源保护区。对万宁水库、牛路岭水库、军田水库设立水源地一级保护区建设隔离围网，划定各级保护区范围，设立水源地保护区管理部门，配备必要的检测设备和设施</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56784</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加强从水源到水龙头的全过程监管</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加强供水水质监测预警，针对水源风险，研判潜在的特征污染物，督促供水企业加强相关应急净水材料、净水技术储备，完善应急净水工艺运行方案</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3</w:t>
            </w:r>
            <w:r>
              <w:rPr>
                <w:rFonts w:cs="宋体"/>
                <w:kern w:val="0"/>
                <w:sz w:val="21"/>
                <w:szCs w:val="21"/>
              </w:rPr>
              <w:t>20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1524" w:type="dxa"/>
            <w:gridSpan w:val="2"/>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水资源优化调度</w:t>
            </w:r>
          </w:p>
        </w:tc>
        <w:tc>
          <w:tcPr>
            <w:tcW w:w="1525" w:type="dxa"/>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供水水网建设</w:t>
            </w:r>
          </w:p>
        </w:tc>
        <w:tc>
          <w:tcPr>
            <w:tcW w:w="6237" w:type="dxa"/>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以牛路岭水库为骨干水源，推动建设连接万宁水库、军田水库输水工程，形成地区供水安全保障网</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1</w:t>
            </w:r>
            <w:r>
              <w:rPr>
                <w:rFonts w:cs="宋体"/>
                <w:kern w:val="0"/>
                <w:sz w:val="21"/>
                <w:szCs w:val="21"/>
              </w:rPr>
              <w:t>500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万城镇、兴隆和北大墟老城区供水管网改造工程</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管网配套改造及计量设备更换，降低全市供水管网漏损率</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1</w:t>
            </w:r>
            <w:r>
              <w:rPr>
                <w:rFonts w:cs="宋体"/>
                <w:kern w:val="0"/>
                <w:sz w:val="21"/>
                <w:szCs w:val="21"/>
              </w:rPr>
              <w:t>7200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restart"/>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1489" w:type="dxa"/>
            <w:vMerge w:val="restart"/>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城镇污水处理设施及配套管网</w:t>
            </w:r>
          </w:p>
        </w:tc>
        <w:tc>
          <w:tcPr>
            <w:tcW w:w="15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污水处理厂提标扩容</w:t>
            </w:r>
          </w:p>
        </w:tc>
        <w:tc>
          <w:tcPr>
            <w:tcW w:w="6237" w:type="dxa"/>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万宁市主城区1#污水处理厂、兴隆旅游区2#污水处理</w:t>
            </w:r>
          </w:p>
        </w:tc>
        <w:tc>
          <w:tcPr>
            <w:tcW w:w="1134" w:type="dxa"/>
            <w:vMerge w:val="restart"/>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5300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1489"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5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新建污水处理厂</w:t>
            </w:r>
          </w:p>
        </w:tc>
        <w:tc>
          <w:tcPr>
            <w:tcW w:w="6237" w:type="dxa"/>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山根镇、礼纪镇、南桥镇、三更罗镇、后安镇、北大镇、港北、乌场等污水处理厂工程</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1489"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5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管网工程</w:t>
            </w:r>
          </w:p>
        </w:tc>
        <w:tc>
          <w:tcPr>
            <w:tcW w:w="6237" w:type="dxa"/>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cs="宋体"/>
                <w:kern w:val="0"/>
                <w:sz w:val="21"/>
                <w:szCs w:val="21"/>
              </w:rPr>
              <w:fldChar w:fldCharType="begin"/>
            </w:r>
            <w:r>
              <w:rPr>
                <w:rFonts w:cs="宋体"/>
                <w:kern w:val="0"/>
                <w:sz w:val="21"/>
                <w:szCs w:val="21"/>
              </w:rPr>
              <w:instrText xml:space="preserve"> </w:instrText>
            </w:r>
            <w:r>
              <w:rPr>
                <w:rFonts w:hint="eastAsia" w:cs="宋体"/>
                <w:kern w:val="0"/>
                <w:sz w:val="21"/>
                <w:szCs w:val="21"/>
              </w:rPr>
              <w:instrText xml:space="preserve">= 1 \* GB3</w:instrText>
            </w:r>
            <w:r>
              <w:rPr>
                <w:rFonts w:cs="宋体"/>
                <w:kern w:val="0"/>
                <w:sz w:val="21"/>
                <w:szCs w:val="21"/>
              </w:rPr>
              <w:instrText xml:space="preserve"> </w:instrText>
            </w:r>
            <w:r>
              <w:rPr>
                <w:rFonts w:cs="宋体"/>
                <w:kern w:val="0"/>
                <w:sz w:val="21"/>
                <w:szCs w:val="21"/>
              </w:rPr>
              <w:fldChar w:fldCharType="separate"/>
            </w:r>
            <w:r>
              <w:rPr>
                <w:rFonts w:hint="eastAsia" w:cs="宋体"/>
                <w:kern w:val="0"/>
                <w:sz w:val="21"/>
                <w:szCs w:val="21"/>
              </w:rPr>
              <w:t>①</w:t>
            </w:r>
            <w:r>
              <w:rPr>
                <w:rFonts w:cs="宋体"/>
                <w:kern w:val="0"/>
                <w:sz w:val="21"/>
                <w:szCs w:val="21"/>
              </w:rPr>
              <w:fldChar w:fldCharType="end"/>
            </w:r>
            <w:r>
              <w:rPr>
                <w:rFonts w:hint="eastAsia" w:cs="宋体"/>
                <w:kern w:val="0"/>
                <w:sz w:val="21"/>
                <w:szCs w:val="21"/>
              </w:rPr>
              <w:t>东澳镇整治工程；</w:t>
            </w:r>
            <w:r>
              <w:rPr>
                <w:rFonts w:cs="宋体"/>
                <w:kern w:val="0"/>
                <w:sz w:val="21"/>
                <w:szCs w:val="21"/>
              </w:rPr>
              <w:fldChar w:fldCharType="begin"/>
            </w:r>
            <w:r>
              <w:rPr>
                <w:rFonts w:cs="宋体"/>
                <w:kern w:val="0"/>
                <w:sz w:val="21"/>
                <w:szCs w:val="21"/>
              </w:rPr>
              <w:instrText xml:space="preserve"> </w:instrText>
            </w:r>
            <w:r>
              <w:rPr>
                <w:rFonts w:hint="eastAsia" w:cs="宋体"/>
                <w:kern w:val="0"/>
                <w:sz w:val="21"/>
                <w:szCs w:val="21"/>
              </w:rPr>
              <w:instrText xml:space="preserve">= 2 \* GB3</w:instrText>
            </w:r>
            <w:r>
              <w:rPr>
                <w:rFonts w:cs="宋体"/>
                <w:kern w:val="0"/>
                <w:sz w:val="21"/>
                <w:szCs w:val="21"/>
              </w:rPr>
              <w:instrText xml:space="preserve"> </w:instrText>
            </w:r>
            <w:r>
              <w:rPr>
                <w:rFonts w:cs="宋体"/>
                <w:kern w:val="0"/>
                <w:sz w:val="21"/>
                <w:szCs w:val="21"/>
              </w:rPr>
              <w:fldChar w:fldCharType="separate"/>
            </w:r>
            <w:r>
              <w:rPr>
                <w:rFonts w:hint="eastAsia" w:cs="宋体"/>
                <w:kern w:val="0"/>
                <w:sz w:val="21"/>
                <w:szCs w:val="21"/>
              </w:rPr>
              <w:t>②</w:t>
            </w:r>
            <w:r>
              <w:rPr>
                <w:rFonts w:cs="宋体"/>
                <w:kern w:val="0"/>
                <w:sz w:val="21"/>
                <w:szCs w:val="21"/>
              </w:rPr>
              <w:fldChar w:fldCharType="end"/>
            </w:r>
            <w:r>
              <w:rPr>
                <w:rFonts w:hint="eastAsia" w:cs="宋体"/>
                <w:kern w:val="0"/>
                <w:sz w:val="21"/>
                <w:szCs w:val="21"/>
              </w:rPr>
              <w:t>大茂镇污水主管道工程、乌场片区、大茂片区、长丰片区、城南路至2号泵站、乐来片区至大茂污水管网、日月湾片区污水管网连通工程；</w:t>
            </w:r>
            <w:r>
              <w:rPr>
                <w:rFonts w:cs="宋体"/>
                <w:kern w:val="0"/>
                <w:sz w:val="21"/>
                <w:szCs w:val="21"/>
              </w:rPr>
              <w:fldChar w:fldCharType="begin"/>
            </w:r>
            <w:r>
              <w:rPr>
                <w:rFonts w:cs="宋体"/>
                <w:kern w:val="0"/>
                <w:sz w:val="21"/>
                <w:szCs w:val="21"/>
              </w:rPr>
              <w:instrText xml:space="preserve"> </w:instrText>
            </w:r>
            <w:r>
              <w:rPr>
                <w:rFonts w:hint="eastAsia" w:cs="宋体"/>
                <w:kern w:val="0"/>
                <w:sz w:val="21"/>
                <w:szCs w:val="21"/>
              </w:rPr>
              <w:instrText xml:space="preserve">= 3 \* GB3</w:instrText>
            </w:r>
            <w:r>
              <w:rPr>
                <w:rFonts w:cs="宋体"/>
                <w:kern w:val="0"/>
                <w:sz w:val="21"/>
                <w:szCs w:val="21"/>
              </w:rPr>
              <w:instrText xml:space="preserve"> </w:instrText>
            </w:r>
            <w:r>
              <w:rPr>
                <w:rFonts w:cs="宋体"/>
                <w:kern w:val="0"/>
                <w:sz w:val="21"/>
                <w:szCs w:val="21"/>
              </w:rPr>
              <w:fldChar w:fldCharType="separate"/>
            </w:r>
            <w:r>
              <w:rPr>
                <w:rFonts w:hint="eastAsia" w:cs="宋体"/>
                <w:kern w:val="0"/>
                <w:sz w:val="21"/>
                <w:szCs w:val="21"/>
              </w:rPr>
              <w:t>③</w:t>
            </w:r>
            <w:r>
              <w:rPr>
                <w:rFonts w:cs="宋体"/>
                <w:kern w:val="0"/>
                <w:sz w:val="21"/>
                <w:szCs w:val="21"/>
              </w:rPr>
              <w:fldChar w:fldCharType="end"/>
            </w:r>
            <w:r>
              <w:rPr>
                <w:rFonts w:hint="eastAsia" w:cs="宋体"/>
                <w:kern w:val="0"/>
                <w:sz w:val="21"/>
                <w:szCs w:val="21"/>
              </w:rPr>
              <w:t>兴隆旅游度假城污水处理厂截流并网工程-华侨农场场部兴兴路以北片区、兴隆旅游度假城污水处理厂截流并网工程-华侨农场场部兴兴路以南片区、兴隆旅游度假城污水处理厂截流并网工程-温泉旅游假度假区污水截流并网工程；</w:t>
            </w:r>
            <w:r>
              <w:rPr>
                <w:rFonts w:cs="宋体"/>
                <w:kern w:val="0"/>
                <w:sz w:val="21"/>
                <w:szCs w:val="21"/>
              </w:rPr>
              <w:fldChar w:fldCharType="begin"/>
            </w:r>
            <w:r>
              <w:rPr>
                <w:rFonts w:cs="宋体"/>
                <w:kern w:val="0"/>
                <w:sz w:val="21"/>
                <w:szCs w:val="21"/>
              </w:rPr>
              <w:instrText xml:space="preserve"> </w:instrText>
            </w:r>
            <w:r>
              <w:rPr>
                <w:rFonts w:hint="eastAsia" w:cs="宋体"/>
                <w:kern w:val="0"/>
                <w:sz w:val="21"/>
                <w:szCs w:val="21"/>
              </w:rPr>
              <w:instrText xml:space="preserve">= 4 \* GB3</w:instrText>
            </w:r>
            <w:r>
              <w:rPr>
                <w:rFonts w:cs="宋体"/>
                <w:kern w:val="0"/>
                <w:sz w:val="21"/>
                <w:szCs w:val="21"/>
              </w:rPr>
              <w:instrText xml:space="preserve"> </w:instrText>
            </w:r>
            <w:r>
              <w:rPr>
                <w:rFonts w:cs="宋体"/>
                <w:kern w:val="0"/>
                <w:sz w:val="21"/>
                <w:szCs w:val="21"/>
              </w:rPr>
              <w:fldChar w:fldCharType="separate"/>
            </w:r>
            <w:r>
              <w:rPr>
                <w:rFonts w:hint="eastAsia" w:cs="宋体"/>
                <w:kern w:val="0"/>
                <w:sz w:val="21"/>
                <w:szCs w:val="21"/>
              </w:rPr>
              <w:t>④</w:t>
            </w:r>
            <w:r>
              <w:rPr>
                <w:rFonts w:cs="宋体"/>
                <w:kern w:val="0"/>
                <w:sz w:val="21"/>
                <w:szCs w:val="21"/>
              </w:rPr>
              <w:fldChar w:fldCharType="end"/>
            </w:r>
            <w:r>
              <w:rPr>
                <w:rFonts w:hint="eastAsia" w:cs="宋体"/>
                <w:kern w:val="0"/>
                <w:sz w:val="21"/>
                <w:szCs w:val="21"/>
              </w:rPr>
              <w:t>城区排水管网排查修复工程；</w:t>
            </w:r>
            <w:r>
              <w:rPr>
                <w:rFonts w:cs="宋体"/>
                <w:kern w:val="0"/>
                <w:sz w:val="21"/>
                <w:szCs w:val="21"/>
              </w:rPr>
              <w:fldChar w:fldCharType="begin"/>
            </w:r>
            <w:r>
              <w:rPr>
                <w:rFonts w:cs="宋体"/>
                <w:kern w:val="0"/>
                <w:sz w:val="21"/>
                <w:szCs w:val="21"/>
              </w:rPr>
              <w:instrText xml:space="preserve"> </w:instrText>
            </w:r>
            <w:r>
              <w:rPr>
                <w:rFonts w:hint="eastAsia" w:cs="宋体"/>
                <w:kern w:val="0"/>
                <w:sz w:val="21"/>
                <w:szCs w:val="21"/>
              </w:rPr>
              <w:instrText xml:space="preserve">= 5 \* GB3</w:instrText>
            </w:r>
            <w:r>
              <w:rPr>
                <w:rFonts w:cs="宋体"/>
                <w:kern w:val="0"/>
                <w:sz w:val="21"/>
                <w:szCs w:val="21"/>
              </w:rPr>
              <w:instrText xml:space="preserve"> </w:instrText>
            </w:r>
            <w:r>
              <w:rPr>
                <w:rFonts w:cs="宋体"/>
                <w:kern w:val="0"/>
                <w:sz w:val="21"/>
                <w:szCs w:val="21"/>
              </w:rPr>
              <w:fldChar w:fldCharType="separate"/>
            </w:r>
            <w:r>
              <w:rPr>
                <w:rFonts w:hint="eastAsia" w:cs="宋体"/>
                <w:kern w:val="0"/>
                <w:sz w:val="21"/>
                <w:szCs w:val="21"/>
              </w:rPr>
              <w:t>⑤</w:t>
            </w:r>
            <w:r>
              <w:rPr>
                <w:rFonts w:cs="宋体"/>
                <w:kern w:val="0"/>
                <w:sz w:val="21"/>
                <w:szCs w:val="21"/>
              </w:rPr>
              <w:fldChar w:fldCharType="end"/>
            </w:r>
            <w:r>
              <w:rPr>
                <w:rFonts w:hint="eastAsia" w:cs="宋体"/>
                <w:kern w:val="0"/>
                <w:sz w:val="21"/>
                <w:szCs w:val="21"/>
              </w:rPr>
              <w:t>万宁市东山河污水整治改造工程（W1至W19污水主管道）；</w:t>
            </w:r>
            <w:r>
              <w:rPr>
                <w:rFonts w:cs="宋体"/>
                <w:kern w:val="0"/>
                <w:sz w:val="21"/>
                <w:szCs w:val="21"/>
              </w:rPr>
              <w:fldChar w:fldCharType="begin"/>
            </w:r>
            <w:r>
              <w:rPr>
                <w:rFonts w:cs="宋体"/>
                <w:kern w:val="0"/>
                <w:sz w:val="21"/>
                <w:szCs w:val="21"/>
              </w:rPr>
              <w:instrText xml:space="preserve"> </w:instrText>
            </w:r>
            <w:r>
              <w:rPr>
                <w:rFonts w:hint="eastAsia" w:cs="宋体"/>
                <w:kern w:val="0"/>
                <w:sz w:val="21"/>
                <w:szCs w:val="21"/>
              </w:rPr>
              <w:instrText xml:space="preserve">= 6 \* GB3</w:instrText>
            </w:r>
            <w:r>
              <w:rPr>
                <w:rFonts w:cs="宋体"/>
                <w:kern w:val="0"/>
                <w:sz w:val="21"/>
                <w:szCs w:val="21"/>
              </w:rPr>
              <w:instrText xml:space="preserve"> </w:instrText>
            </w:r>
            <w:r>
              <w:rPr>
                <w:rFonts w:cs="宋体"/>
                <w:kern w:val="0"/>
                <w:sz w:val="21"/>
                <w:szCs w:val="21"/>
              </w:rPr>
              <w:fldChar w:fldCharType="separate"/>
            </w:r>
            <w:r>
              <w:rPr>
                <w:rFonts w:hint="eastAsia" w:cs="宋体"/>
                <w:kern w:val="0"/>
                <w:sz w:val="21"/>
                <w:szCs w:val="21"/>
              </w:rPr>
              <w:t>⑥</w:t>
            </w:r>
            <w:r>
              <w:rPr>
                <w:rFonts w:cs="宋体"/>
                <w:kern w:val="0"/>
                <w:sz w:val="21"/>
                <w:szCs w:val="21"/>
              </w:rPr>
              <w:fldChar w:fldCharType="end"/>
            </w:r>
            <w:r>
              <w:rPr>
                <w:rFonts w:hint="eastAsia" w:cs="宋体"/>
                <w:kern w:val="0"/>
                <w:sz w:val="21"/>
                <w:szCs w:val="21"/>
              </w:rPr>
              <w:t>万宁市老八街污水管沟综合治理工程；</w:t>
            </w:r>
            <w:r>
              <w:rPr>
                <w:rFonts w:cs="宋体"/>
                <w:kern w:val="0"/>
                <w:sz w:val="21"/>
                <w:szCs w:val="21"/>
              </w:rPr>
              <w:fldChar w:fldCharType="begin"/>
            </w:r>
            <w:r>
              <w:rPr>
                <w:rFonts w:cs="宋体"/>
                <w:kern w:val="0"/>
                <w:sz w:val="21"/>
                <w:szCs w:val="21"/>
              </w:rPr>
              <w:instrText xml:space="preserve"> </w:instrText>
            </w:r>
            <w:r>
              <w:rPr>
                <w:rFonts w:hint="eastAsia" w:cs="宋体"/>
                <w:kern w:val="0"/>
                <w:sz w:val="21"/>
                <w:szCs w:val="21"/>
              </w:rPr>
              <w:instrText xml:space="preserve">= 7 \* GB3</w:instrText>
            </w:r>
            <w:r>
              <w:rPr>
                <w:rFonts w:cs="宋体"/>
                <w:kern w:val="0"/>
                <w:sz w:val="21"/>
                <w:szCs w:val="21"/>
              </w:rPr>
              <w:instrText xml:space="preserve"> </w:instrText>
            </w:r>
            <w:r>
              <w:rPr>
                <w:rFonts w:cs="宋体"/>
                <w:kern w:val="0"/>
                <w:sz w:val="21"/>
                <w:szCs w:val="21"/>
              </w:rPr>
              <w:fldChar w:fldCharType="separate"/>
            </w:r>
            <w:r>
              <w:rPr>
                <w:rFonts w:hint="eastAsia" w:cs="宋体"/>
                <w:kern w:val="0"/>
                <w:sz w:val="21"/>
                <w:szCs w:val="21"/>
              </w:rPr>
              <w:t>⑦</w:t>
            </w:r>
            <w:r>
              <w:rPr>
                <w:rFonts w:cs="宋体"/>
                <w:kern w:val="0"/>
                <w:sz w:val="21"/>
                <w:szCs w:val="21"/>
              </w:rPr>
              <w:fldChar w:fldCharType="end"/>
            </w:r>
            <w:r>
              <w:rPr>
                <w:rFonts w:hint="eastAsia" w:cs="宋体"/>
                <w:kern w:val="0"/>
                <w:sz w:val="21"/>
                <w:szCs w:val="21"/>
              </w:rPr>
              <w:t>和乐至山根片区污水管网延伸段工程；</w:t>
            </w:r>
            <w:r>
              <w:rPr>
                <w:rFonts w:cs="宋体"/>
                <w:kern w:val="0"/>
                <w:sz w:val="21"/>
                <w:szCs w:val="21"/>
              </w:rPr>
              <w:fldChar w:fldCharType="begin"/>
            </w:r>
            <w:r>
              <w:rPr>
                <w:rFonts w:cs="宋体"/>
                <w:kern w:val="0"/>
                <w:sz w:val="21"/>
                <w:szCs w:val="21"/>
              </w:rPr>
              <w:instrText xml:space="preserve"> </w:instrText>
            </w:r>
            <w:r>
              <w:rPr>
                <w:rFonts w:hint="eastAsia" w:cs="宋体"/>
                <w:kern w:val="0"/>
                <w:sz w:val="21"/>
                <w:szCs w:val="21"/>
              </w:rPr>
              <w:instrText xml:space="preserve">= 8 \* GB3</w:instrText>
            </w:r>
            <w:r>
              <w:rPr>
                <w:rFonts w:cs="宋体"/>
                <w:kern w:val="0"/>
                <w:sz w:val="21"/>
                <w:szCs w:val="21"/>
              </w:rPr>
              <w:instrText xml:space="preserve"> </w:instrText>
            </w:r>
            <w:r>
              <w:rPr>
                <w:rFonts w:cs="宋体"/>
                <w:kern w:val="0"/>
                <w:sz w:val="21"/>
                <w:szCs w:val="21"/>
              </w:rPr>
              <w:fldChar w:fldCharType="separate"/>
            </w:r>
            <w:r>
              <w:rPr>
                <w:rFonts w:hint="eastAsia" w:cs="宋体"/>
                <w:kern w:val="0"/>
                <w:sz w:val="21"/>
                <w:szCs w:val="21"/>
              </w:rPr>
              <w:t>⑧</w:t>
            </w:r>
            <w:r>
              <w:rPr>
                <w:rFonts w:cs="宋体"/>
                <w:kern w:val="0"/>
                <w:sz w:val="21"/>
                <w:szCs w:val="21"/>
              </w:rPr>
              <w:fldChar w:fldCharType="end"/>
            </w:r>
            <w:r>
              <w:rPr>
                <w:rFonts w:hint="eastAsia" w:cs="宋体"/>
                <w:kern w:val="0"/>
                <w:sz w:val="21"/>
                <w:szCs w:val="21"/>
              </w:rPr>
              <w:t>龙滚镇污水管网收集工程</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restart"/>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1489" w:type="dxa"/>
            <w:vMerge w:val="restart"/>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农村生活</w:t>
            </w:r>
          </w:p>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污水处理</w:t>
            </w:r>
          </w:p>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设施建设</w:t>
            </w:r>
          </w:p>
        </w:tc>
        <w:tc>
          <w:tcPr>
            <w:tcW w:w="15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小海周边村庄污水收集管网项目</w:t>
            </w:r>
          </w:p>
        </w:tc>
        <w:tc>
          <w:tcPr>
            <w:tcW w:w="6237" w:type="dxa"/>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对小海周边9个行政村的村道主管、巷道支管、入户管及污水提升泵站的建设</w:t>
            </w:r>
          </w:p>
        </w:tc>
        <w:tc>
          <w:tcPr>
            <w:tcW w:w="1134" w:type="dxa"/>
            <w:vMerge w:val="restart"/>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4</w:t>
            </w:r>
            <w:r>
              <w:rPr>
                <w:rFonts w:cs="宋体"/>
                <w:kern w:val="0"/>
                <w:sz w:val="21"/>
                <w:szCs w:val="21"/>
              </w:rPr>
              <w:t>7800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1489"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5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环小海老爷海周边村庄污水收集管网建设项目</w:t>
            </w:r>
          </w:p>
        </w:tc>
        <w:tc>
          <w:tcPr>
            <w:tcW w:w="6237" w:type="dxa"/>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万城镇春园村、乌场村、新村等3个行政村开展生态保护修复截污工程，建设东澳镇5个行政村的村道主管、巷道支管、入户管及污水提升泵站</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1489"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5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集中式饮用水源地保护—沿岸周边村庄污水治理项目</w:t>
            </w:r>
          </w:p>
        </w:tc>
        <w:tc>
          <w:tcPr>
            <w:tcW w:w="6237" w:type="dxa"/>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南桥镇小管村村委会、桥南村村委会、南桥村村委会、南林居居民委员会，三更罗镇加朝村村委会、加苗村村委会、新中居居民委员会，礼纪镇太阳村村委会，长丰镇东和居居民委员会、黄家坡村委会、长丰村村委会等11个行政村的收集管网及污水处理设施</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1489"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560" w:type="dxa"/>
            <w:gridSpan w:val="2"/>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r>
              <w:rPr>
                <w:rFonts w:hint="eastAsia" w:cs="宋体"/>
                <w:kern w:val="0"/>
                <w:sz w:val="21"/>
                <w:szCs w:val="21"/>
              </w:rPr>
              <w:t>和乐镇芳市村委会芳市村、万城镇周家庄村委会上坡村农村环境综合整治项目</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建设农村生活污水收入管道和处理池</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1489"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5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环小海后安片区生活污水治理项目</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后安镇辖区内5个行政村修建生活污水治理设施</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1489"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5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环小海和乐片区生活污水治理项目</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和乐镇环小海农村生活污水治理项目，拟在和乐镇6个行政村修建污水收集管网及污水处理设施</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农村黑臭水体整治</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和乐镇发兴村委会发兴村发兴村水利沟、万城镇大芒村委会溪头村溪边沟、万城镇新兴村委会周公园周公园沟渠、礼纪镇合兴村委会冯家村合兴村排污沟、东澳镇新群村委会新群村刘国名水稻田东侧水沟、和乐镇罗万村委会好古村好古村塘、万城镇联山村委会上山尾乐善村村口等</w:t>
            </w:r>
            <w:r>
              <w:rPr>
                <w:rFonts w:cs="宋体"/>
                <w:kern w:val="0"/>
                <w:sz w:val="21"/>
                <w:szCs w:val="21"/>
              </w:rPr>
              <w:t>8</w:t>
            </w:r>
            <w:r>
              <w:rPr>
                <w:rFonts w:hint="eastAsia" w:cs="宋体"/>
                <w:kern w:val="0"/>
                <w:sz w:val="21"/>
                <w:szCs w:val="21"/>
              </w:rPr>
              <w:t>条国管黑臭水体以及万城镇宾王村委会排污沟、万城镇保定村委会保定村下力田塘、万城镇红光村委会后边村村菜市场路口沟、万城镇北坡村委会北坡村北坡排水沟、万城镇乌场村委会下坡村段鳗湘家门前、万城镇新兴村委会白湾村杨林肖家后面、北大镇北大村委会加槽村陈云海家西边、东澳镇新群村委会新村新村村委会出入口、北大镇大堀村委会牛一村黄家运家前、北大镇下三村委会排塚村林国荣家旁、东澳镇集丰村委会南道村李更华屋旁、大茂镇红石村委会红石仔村林思文家门口等</w:t>
            </w:r>
            <w:r>
              <w:rPr>
                <w:rFonts w:cs="宋体"/>
                <w:kern w:val="0"/>
                <w:sz w:val="21"/>
                <w:szCs w:val="21"/>
              </w:rPr>
              <w:t>17</w:t>
            </w:r>
            <w:r>
              <w:rPr>
                <w:rFonts w:hint="eastAsia" w:cs="宋体"/>
                <w:kern w:val="0"/>
                <w:sz w:val="21"/>
                <w:szCs w:val="21"/>
              </w:rPr>
              <w:t>条省管黑臭水体治理工程</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4</w:t>
            </w:r>
            <w:r>
              <w:rPr>
                <w:rFonts w:cs="宋体"/>
                <w:kern w:val="0"/>
                <w:sz w:val="21"/>
                <w:szCs w:val="21"/>
              </w:rPr>
              <w:t>7235</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restart"/>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Merge w:val="restart"/>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万宁市小海流域综合治理工程</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1.实施退塘工作，完成清退后安镇小海片区、万城镇新庄和南星村委会片区共1100亩零散高（低）位养殖池。完成清退龙首河两侧950亩高（低）位养殖池塘。</w:t>
            </w:r>
          </w:p>
        </w:tc>
        <w:tc>
          <w:tcPr>
            <w:tcW w:w="1134" w:type="dxa"/>
            <w:vMerge w:val="restart"/>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1</w:t>
            </w:r>
            <w:r>
              <w:rPr>
                <w:rFonts w:cs="宋体"/>
                <w:kern w:val="0"/>
                <w:sz w:val="21"/>
                <w:szCs w:val="21"/>
              </w:rPr>
              <w:t>27685</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3049" w:type="dxa"/>
            <w:gridSpan w:val="3"/>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2.对乌场村和乐蟹养殖区、乐群养殖区的养殖尾水进行治理，确保养殖尾水达标排放。</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3049" w:type="dxa"/>
            <w:gridSpan w:val="3"/>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cs="宋体"/>
                <w:kern w:val="0"/>
                <w:sz w:val="21"/>
                <w:szCs w:val="21"/>
              </w:rPr>
              <w:t>3</w:t>
            </w:r>
            <w:r>
              <w:rPr>
                <w:rFonts w:hint="eastAsia" w:cs="宋体"/>
                <w:kern w:val="0"/>
                <w:sz w:val="21"/>
                <w:szCs w:val="21"/>
              </w:rPr>
              <w:t>.对东山河沿岸污水主管网改造及吴村仔和塘仔村段截污并网。</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3049" w:type="dxa"/>
            <w:gridSpan w:val="3"/>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cs="宋体"/>
                <w:kern w:val="0"/>
                <w:sz w:val="21"/>
                <w:szCs w:val="21"/>
              </w:rPr>
              <w:t>4</w:t>
            </w:r>
            <w:r>
              <w:rPr>
                <w:rFonts w:hint="eastAsia" w:cs="宋体"/>
                <w:kern w:val="0"/>
                <w:sz w:val="21"/>
                <w:szCs w:val="21"/>
              </w:rPr>
              <w:t>.加快推进南汊道恢复工程和港北口门拓宽工程建设</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3049" w:type="dxa"/>
            <w:gridSpan w:val="3"/>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cs="宋体"/>
                <w:kern w:val="0"/>
                <w:sz w:val="21"/>
                <w:szCs w:val="21"/>
              </w:rPr>
              <w:t>5</w:t>
            </w:r>
            <w:r>
              <w:rPr>
                <w:rFonts w:hint="eastAsia" w:cs="宋体"/>
                <w:kern w:val="0"/>
                <w:sz w:val="21"/>
                <w:szCs w:val="21"/>
              </w:rPr>
              <w:t>.实施红树林生态修复，分阶段在小海周边退塘区域的宜林区种植3600亩红树林，提升红树林生态系统的质量和功能</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3049" w:type="dxa"/>
            <w:gridSpan w:val="3"/>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cs="宋体"/>
                <w:kern w:val="0"/>
                <w:sz w:val="21"/>
                <w:szCs w:val="21"/>
              </w:rPr>
              <w:t>6</w:t>
            </w:r>
            <w:r>
              <w:rPr>
                <w:rFonts w:hint="eastAsia" w:cs="宋体"/>
                <w:kern w:val="0"/>
                <w:sz w:val="21"/>
                <w:szCs w:val="21"/>
              </w:rPr>
              <w:t>.实施东山河流域老八街管沟综合治理工程、万宁市城镇污水提质增效项目、小海河流支流生态治理项目子项目生态治理工程等项目建设，解决沿河两岸生活污水和污水处理厂处理尾水通过河流排入小海</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3049" w:type="dxa"/>
            <w:gridSpan w:val="3"/>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cs="宋体"/>
                <w:kern w:val="0"/>
                <w:sz w:val="21"/>
                <w:szCs w:val="21"/>
              </w:rPr>
              <w:t>7</w:t>
            </w:r>
            <w:r>
              <w:rPr>
                <w:rFonts w:hint="eastAsia" w:cs="宋体"/>
                <w:kern w:val="0"/>
                <w:sz w:val="21"/>
                <w:szCs w:val="21"/>
              </w:rPr>
              <w:t>.建设英豪半岛700亩工厂化养殖产业园，引导养殖户往岸上走、往工厂化养殖方向走。项目拟分三期建设，一期用地面积约200亩，二期用地面积约300亩，三期用地面积约171.8亩</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3049" w:type="dxa"/>
            <w:gridSpan w:val="3"/>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cs="宋体"/>
                <w:kern w:val="0"/>
                <w:sz w:val="21"/>
                <w:szCs w:val="21"/>
              </w:rPr>
              <w:t>8</w:t>
            </w:r>
            <w:r>
              <w:rPr>
                <w:rFonts w:hint="eastAsia" w:cs="宋体"/>
                <w:kern w:val="0"/>
                <w:sz w:val="21"/>
                <w:szCs w:val="21"/>
              </w:rPr>
              <w:t>.建设港北渔港避风锚地，解决后安和和乐片区的渔船靠泊及运维问题，同时妥善处置船油废水，避免船油废水直排入海造成水质污染问题</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3049" w:type="dxa"/>
            <w:gridSpan w:val="3"/>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cs="宋体"/>
                <w:kern w:val="0"/>
                <w:sz w:val="21"/>
                <w:szCs w:val="21"/>
              </w:rPr>
              <w:t>9</w:t>
            </w:r>
            <w:r>
              <w:rPr>
                <w:rFonts w:hint="eastAsia" w:cs="宋体"/>
                <w:kern w:val="0"/>
                <w:sz w:val="21"/>
                <w:szCs w:val="21"/>
              </w:rPr>
              <w:t>.在环小海区域推广绿色种植技术，建立和完善农药包装废弃物回收处置链条</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Merge w:val="continue"/>
            <w:vAlign w:val="center"/>
          </w:tcPr>
          <w:p>
            <w:pPr>
              <w:tabs>
                <w:tab w:val="left" w:pos="277"/>
                <w:tab w:val="left" w:pos="600"/>
                <w:tab w:val="left" w:pos="780"/>
                <w:tab w:val="left" w:pos="2517"/>
              </w:tabs>
              <w:spacing w:line="240" w:lineRule="auto"/>
              <w:ind w:firstLine="0" w:firstLineChars="0"/>
              <w:textAlignment w:val="baseline"/>
              <w:rPr>
                <w:rFonts w:cs="宋体"/>
                <w:kern w:val="0"/>
                <w:sz w:val="21"/>
                <w:szCs w:val="21"/>
              </w:rPr>
            </w:pPr>
          </w:p>
        </w:tc>
        <w:tc>
          <w:tcPr>
            <w:tcW w:w="3049" w:type="dxa"/>
            <w:gridSpan w:val="3"/>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1</w:t>
            </w:r>
            <w:r>
              <w:rPr>
                <w:rFonts w:cs="宋体"/>
                <w:kern w:val="0"/>
                <w:sz w:val="21"/>
                <w:szCs w:val="21"/>
              </w:rPr>
              <w:t>0</w:t>
            </w:r>
            <w:r>
              <w:rPr>
                <w:rFonts w:hint="eastAsia" w:cs="宋体"/>
                <w:kern w:val="0"/>
                <w:sz w:val="21"/>
                <w:szCs w:val="21"/>
              </w:rPr>
              <w:t>.修复海草床和海藻场，实施小海海草床修复与海藻种植工程，在海草床和海藻历史分布区修复海草床和种植海藻，丰富小海海草、海藻的生物多样性</w:t>
            </w:r>
          </w:p>
        </w:tc>
        <w:tc>
          <w:tcPr>
            <w:tcW w:w="113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万宁市礼纪镇茄新村茄新河综合治理工程</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综合整治河长1</w:t>
            </w:r>
            <w:r>
              <w:rPr>
                <w:rFonts w:cs="宋体"/>
                <w:kern w:val="0"/>
                <w:sz w:val="21"/>
                <w:szCs w:val="21"/>
              </w:rPr>
              <w:t>0</w:t>
            </w:r>
            <w:r>
              <w:rPr>
                <w:rFonts w:hint="eastAsia" w:cs="宋体"/>
                <w:kern w:val="0"/>
                <w:sz w:val="21"/>
                <w:szCs w:val="21"/>
              </w:rPr>
              <w:t>公里</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3</w:t>
            </w:r>
            <w:r>
              <w:rPr>
                <w:rFonts w:cs="宋体"/>
                <w:kern w:val="0"/>
                <w:sz w:val="21"/>
                <w:szCs w:val="21"/>
              </w:rPr>
              <w:t>000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万宁市</w:t>
            </w:r>
            <w:bookmarkStart w:id="93" w:name="_Hlk142556997"/>
            <w:r>
              <w:rPr>
                <w:rFonts w:hint="eastAsia" w:cs="宋体"/>
                <w:kern w:val="0"/>
                <w:sz w:val="21"/>
                <w:szCs w:val="21"/>
              </w:rPr>
              <w:t>东山河万城至小海段综合整治一期工程</w:t>
            </w:r>
            <w:bookmarkEnd w:id="93"/>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东山河干流新建堤防12km，其中，新建分洪渠3公里，分洪渠宽度设置为80米。分洪渠起点为东山桥以上，沿后塘涌原河道至北师大附中，穿望海大道后沿现有坑塘直至小海，沿线切断道路新建桥梁工程，防洪标准为20年一遇，建筑物级别为4级</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1</w:t>
            </w:r>
            <w:r>
              <w:rPr>
                <w:rFonts w:cs="宋体"/>
                <w:kern w:val="0"/>
                <w:sz w:val="21"/>
                <w:szCs w:val="21"/>
              </w:rPr>
              <w:t>6500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bookmarkStart w:id="94" w:name="_Hlk142557058"/>
            <w:r>
              <w:rPr>
                <w:rFonts w:hint="eastAsia" w:cs="宋体"/>
                <w:kern w:val="0"/>
                <w:sz w:val="21"/>
                <w:szCs w:val="21"/>
              </w:rPr>
              <w:t>太阳河旧河道清淤疏浚工程</w:t>
            </w:r>
            <w:bookmarkEnd w:id="94"/>
            <w:r>
              <w:rPr>
                <w:rFonts w:hint="eastAsia" w:cs="宋体"/>
                <w:kern w:val="0"/>
                <w:sz w:val="21"/>
                <w:szCs w:val="21"/>
              </w:rPr>
              <w:t>和分洪渠岸坡整治工程</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清淤疏浚太阳河旧河道下游段长约12km范围河道、生态岸坡整治1</w:t>
            </w:r>
            <w:r>
              <w:rPr>
                <w:rFonts w:cs="宋体"/>
                <w:kern w:val="0"/>
                <w:sz w:val="21"/>
                <w:szCs w:val="21"/>
              </w:rPr>
              <w:t>.0</w:t>
            </w:r>
            <w:r>
              <w:rPr>
                <w:rFonts w:hint="eastAsia" w:cs="宋体"/>
                <w:kern w:val="0"/>
                <w:sz w:val="21"/>
                <w:szCs w:val="21"/>
              </w:rPr>
              <w:t>km</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4</w:t>
            </w:r>
            <w:r>
              <w:rPr>
                <w:rFonts w:cs="宋体"/>
                <w:kern w:val="0"/>
                <w:sz w:val="21"/>
                <w:szCs w:val="21"/>
              </w:rPr>
              <w:t>500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龙首河河道岸坡整治工程</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生态岸坡整治1</w:t>
            </w:r>
            <w:r>
              <w:rPr>
                <w:rFonts w:cs="宋体"/>
                <w:kern w:val="0"/>
                <w:sz w:val="21"/>
                <w:szCs w:val="21"/>
              </w:rPr>
              <w:t>.0</w:t>
            </w:r>
            <w:r>
              <w:rPr>
                <w:rFonts w:hint="eastAsia" w:cs="宋体"/>
                <w:kern w:val="0"/>
                <w:sz w:val="21"/>
                <w:szCs w:val="21"/>
              </w:rPr>
              <w:t>km</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8</w:t>
            </w:r>
            <w:r>
              <w:rPr>
                <w:rFonts w:cs="宋体"/>
                <w:kern w:val="0"/>
                <w:sz w:val="21"/>
                <w:szCs w:val="21"/>
              </w:rPr>
              <w:t>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太阳河至东山河水系连通工程</w:t>
            </w:r>
          </w:p>
        </w:tc>
        <w:tc>
          <w:tcPr>
            <w:tcW w:w="6237" w:type="dxa"/>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cs="宋体"/>
                <w:kern w:val="0"/>
                <w:sz w:val="21"/>
                <w:szCs w:val="21"/>
              </w:rPr>
              <w:t>河道清淤疏浚约12.5km；新建万宁干渠分渠补水闸4座，生态岸坡整治26.28km；新建小型湿地净化工程18处，面积4.1万m</w:t>
            </w:r>
            <w:r>
              <w:rPr>
                <w:rFonts w:hint="eastAsia" w:cs="宋体"/>
                <w:kern w:val="0"/>
                <w:sz w:val="21"/>
                <w:szCs w:val="21"/>
                <w:vertAlign w:val="superscript"/>
              </w:rPr>
              <w:t>2</w:t>
            </w:r>
            <w:r>
              <w:rPr>
                <w:rFonts w:hint="eastAsia" w:cs="宋体"/>
                <w:kern w:val="0"/>
                <w:sz w:val="21"/>
                <w:szCs w:val="21"/>
              </w:rPr>
              <w:t>；在沿河村庄岸上设置临河亲水漫步道10.8km</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1</w:t>
            </w:r>
            <w:r>
              <w:rPr>
                <w:rFonts w:cs="宋体"/>
                <w:kern w:val="0"/>
                <w:sz w:val="21"/>
                <w:szCs w:val="21"/>
              </w:rPr>
              <w:t>2678</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sz w:val="21"/>
                <w:szCs w:val="21"/>
              </w:rPr>
              <w:t>日月湾海洋生态保护和修复工程</w:t>
            </w:r>
          </w:p>
        </w:tc>
        <w:tc>
          <w:tcPr>
            <w:tcW w:w="6237" w:type="dxa"/>
          </w:tcPr>
          <w:p>
            <w:pPr>
              <w:tabs>
                <w:tab w:val="left" w:pos="277"/>
                <w:tab w:val="left" w:pos="600"/>
                <w:tab w:val="left" w:pos="780"/>
                <w:tab w:val="left" w:pos="2517"/>
              </w:tabs>
              <w:spacing w:line="240" w:lineRule="auto"/>
              <w:ind w:firstLine="0" w:firstLineChars="0"/>
              <w:jc w:val="left"/>
              <w:textAlignment w:val="baseline"/>
              <w:rPr>
                <w:sz w:val="21"/>
                <w:szCs w:val="21"/>
              </w:rPr>
            </w:pPr>
            <w:r>
              <w:rPr>
                <w:rFonts w:hint="eastAsia"/>
                <w:sz w:val="21"/>
                <w:szCs w:val="21"/>
              </w:rPr>
              <w:t>1、日岛周围海域珊瑚礁生态系统修复工程。</w:t>
            </w:r>
            <w:r>
              <w:rPr>
                <w:sz w:val="21"/>
                <w:szCs w:val="21"/>
              </w:rPr>
              <w:fldChar w:fldCharType="begin"/>
            </w:r>
            <w:r>
              <w:rPr>
                <w:sz w:val="21"/>
                <w:szCs w:val="21"/>
              </w:rPr>
              <w:instrText xml:space="preserve"> </w:instrText>
            </w:r>
            <w:r>
              <w:rPr>
                <w:rFonts w:hint="eastAsia"/>
                <w:sz w:val="21"/>
                <w:szCs w:val="21"/>
              </w:rPr>
              <w:instrText xml:space="preserve">=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人工珊瑚礁投放区面积：10公顷，投放人工珊瑚礁体单体共5500个，其中大型礁体3000个，中型礁体2500个；</w:t>
            </w:r>
            <w:r>
              <w:rPr>
                <w:sz w:val="21"/>
                <w:szCs w:val="21"/>
              </w:rPr>
              <w:fldChar w:fldCharType="begin"/>
            </w:r>
            <w:r>
              <w:rPr>
                <w:sz w:val="21"/>
                <w:szCs w:val="21"/>
              </w:rPr>
              <w:instrText xml:space="preserve"> </w:instrText>
            </w:r>
            <w:r>
              <w:rPr>
                <w:rFonts w:hint="eastAsia"/>
                <w:sz w:val="21"/>
                <w:szCs w:val="21"/>
              </w:rPr>
              <w:instrText xml:space="preserve">=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sz w:val="21"/>
                <w:szCs w:val="21"/>
              </w:rPr>
              <w:t>人工珊瑚苗圃培育区：4公顷，投放及安装700个水下苗圃，培育珊瑚苗100000株；</w:t>
            </w:r>
            <w:r>
              <w:rPr>
                <w:sz w:val="21"/>
                <w:szCs w:val="21"/>
              </w:rPr>
              <w:fldChar w:fldCharType="begin"/>
            </w:r>
            <w:r>
              <w:rPr>
                <w:sz w:val="21"/>
                <w:szCs w:val="21"/>
              </w:rPr>
              <w:instrText xml:space="preserve"> </w:instrText>
            </w:r>
            <w:r>
              <w:rPr>
                <w:rFonts w:hint="eastAsia"/>
                <w:sz w:val="21"/>
                <w:szCs w:val="21"/>
              </w:rPr>
              <w:instrText xml:space="preserve">= 3 \* GB3</w:instrText>
            </w:r>
            <w:r>
              <w:rPr>
                <w:sz w:val="21"/>
                <w:szCs w:val="21"/>
              </w:rPr>
              <w:instrText xml:space="preserve"> </w:instrText>
            </w:r>
            <w:r>
              <w:rPr>
                <w:sz w:val="21"/>
                <w:szCs w:val="21"/>
              </w:rPr>
              <w:fldChar w:fldCharType="separate"/>
            </w:r>
            <w:r>
              <w:rPr>
                <w:rFonts w:hint="eastAsia"/>
                <w:sz w:val="21"/>
                <w:szCs w:val="21"/>
              </w:rPr>
              <w:t>③</w:t>
            </w:r>
            <w:r>
              <w:rPr>
                <w:sz w:val="21"/>
                <w:szCs w:val="21"/>
              </w:rPr>
              <w:fldChar w:fldCharType="end"/>
            </w:r>
            <w:r>
              <w:rPr>
                <w:rFonts w:hint="eastAsia"/>
                <w:sz w:val="21"/>
                <w:szCs w:val="21"/>
              </w:rPr>
              <w:t>移植修复珊瑚礁区：8公顷，移植珊瑚苗100000株。</w:t>
            </w:r>
          </w:p>
          <w:p>
            <w:pPr>
              <w:tabs>
                <w:tab w:val="left" w:pos="277"/>
                <w:tab w:val="left" w:pos="600"/>
                <w:tab w:val="left" w:pos="780"/>
                <w:tab w:val="left" w:pos="2517"/>
              </w:tabs>
              <w:spacing w:line="240" w:lineRule="auto"/>
              <w:ind w:firstLine="0" w:firstLineChars="0"/>
              <w:jc w:val="left"/>
              <w:textAlignment w:val="baseline"/>
              <w:rPr>
                <w:sz w:val="21"/>
                <w:szCs w:val="21"/>
              </w:rPr>
            </w:pPr>
            <w:r>
              <w:rPr>
                <w:rFonts w:hint="eastAsia"/>
                <w:sz w:val="21"/>
                <w:szCs w:val="21"/>
              </w:rPr>
              <w:t>2、日月湾人工鱼礁及增殖放流工程。①人工鱼礁投放：共布置13个礁体群，1926个礁体，共计18.77万空方；②增殖放流：共投放紫红笛鲷幼体80万尾，篮子鱼幼体115万尾，斑节对虾200万尾，青石斑鱼14万尾，文蛤140万粒。</w:t>
            </w:r>
          </w:p>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sz w:val="21"/>
                <w:szCs w:val="21"/>
              </w:rPr>
              <w:t>3、日月湾岸滩修复治理工程。①人工补沙：对日岛西侧和北侧长约3200m岸段进行岸滩进行整理修复，疏浚补沙总量31.15万方；②离岸堤：于侵蚀岸滩外侧新建12座离岸堤，总长为1270m；③挡沙堤：新建日岛南挡沙堤175m，北挡沙堤250m；④生态护坡：在侵蚀岸滩后侧修建生态护坡，生态护坡总长为1000m。</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16374.51</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生活垃圾转运站提升及新建项目</w:t>
            </w:r>
          </w:p>
        </w:tc>
        <w:tc>
          <w:tcPr>
            <w:tcW w:w="6237" w:type="dxa"/>
            <w:vAlign w:val="center"/>
          </w:tcPr>
          <w:p>
            <w:pPr>
              <w:pStyle w:val="10"/>
              <w:spacing w:after="0" w:line="240" w:lineRule="auto"/>
              <w:ind w:firstLine="0" w:firstLineChars="0"/>
              <w:jc w:val="left"/>
              <w:rPr>
                <w:sz w:val="21"/>
                <w:szCs w:val="21"/>
                <w:lang w:val="zh-CN"/>
              </w:rPr>
            </w:pPr>
            <w:r>
              <w:rPr>
                <w:rFonts w:hint="eastAsia"/>
                <w:sz w:val="21"/>
                <w:szCs w:val="21"/>
                <w:lang w:val="zh-CN"/>
              </w:rPr>
              <w:t>港北、长丰镇</w:t>
            </w:r>
            <w:r>
              <w:rPr>
                <w:sz w:val="21"/>
                <w:szCs w:val="21"/>
                <w:lang w:val="zh-CN"/>
              </w:rPr>
              <w:t>：</w:t>
            </w:r>
            <w:r>
              <w:rPr>
                <w:rFonts w:hint="eastAsia"/>
                <w:sz w:val="21"/>
                <w:szCs w:val="21"/>
                <w:lang w:val="zh-CN"/>
              </w:rPr>
              <w:t>新建8</w:t>
            </w:r>
            <w:r>
              <w:rPr>
                <w:sz w:val="21"/>
                <w:szCs w:val="21"/>
                <w:lang w:val="zh-CN"/>
              </w:rPr>
              <w:t>0</w:t>
            </w:r>
            <w:r>
              <w:rPr>
                <w:rFonts w:hint="eastAsia"/>
                <w:sz w:val="21"/>
                <w:szCs w:val="21"/>
                <w:lang w:val="zh-CN"/>
              </w:rPr>
              <w:t>吨/日垃圾转运站站房1座以及相应的配套设施</w:t>
            </w:r>
          </w:p>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sz w:val="21"/>
                <w:szCs w:val="21"/>
                <w:lang w:val="zh-CN"/>
              </w:rPr>
              <w:t>兴隆：</w:t>
            </w:r>
            <w:r>
              <w:rPr>
                <w:rFonts w:hint="eastAsia"/>
                <w:sz w:val="21"/>
                <w:szCs w:val="21"/>
                <w:lang w:val="zh-CN"/>
              </w:rPr>
              <w:t>垃圾转运站</w:t>
            </w:r>
            <w:r>
              <w:rPr>
                <w:sz w:val="21"/>
                <w:szCs w:val="21"/>
                <w:lang w:val="zh-CN"/>
              </w:rPr>
              <w:t>扩建工程</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1</w:t>
            </w:r>
            <w:r>
              <w:rPr>
                <w:rFonts w:cs="宋体"/>
                <w:kern w:val="0"/>
                <w:sz w:val="21"/>
                <w:szCs w:val="21"/>
              </w:rPr>
              <w:t>369</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市环卫园林局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产业绿色升级</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kern w:val="0"/>
                <w:sz w:val="21"/>
                <w:szCs w:val="21"/>
              </w:rPr>
              <w:t>积极创建国家森林康养基地；国家级“休闲农业重点县”；乌场休闲渔业特色小镇；兴隆健康旅游产业园；咖啡、槟榔、诺丽、沉香研究院；槟榔产业集群；和乐蟹生态产业园；工厂化水产养殖园；东山羊、冬季瓜菜、热带水果，兴隆咖啡、诺丽产业、兴隆水牛、东澳鹅、后安海鸭、龙滚菠萝等产业；科技孵化器和众创空间等</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市农业农村局、市科技和工业信息局等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sz w:val="21"/>
                <w:szCs w:val="21"/>
              </w:rPr>
              <w:t>礼纪新型工业产业园-海建建筑产业现代化基地装配式建筑项目</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sz w:val="21"/>
                <w:szCs w:val="21"/>
              </w:rPr>
              <w:t>项目占地130亩，采用高度机械化、自动化、信息化的生产设备，并应用ERP数字化系统平台集中管理。产能约为15万m</w:t>
            </w:r>
            <w:r>
              <w:rPr>
                <w:rFonts w:hint="eastAsia"/>
                <w:sz w:val="21"/>
                <w:szCs w:val="21"/>
                <w:vertAlign w:val="superscript"/>
              </w:rPr>
              <w:t>3</w:t>
            </w:r>
            <w:r>
              <w:rPr>
                <w:rFonts w:hint="eastAsia"/>
                <w:sz w:val="21"/>
                <w:szCs w:val="21"/>
              </w:rPr>
              <w:t>/年，将来可满足300万m</w:t>
            </w:r>
            <w:r>
              <w:rPr>
                <w:rFonts w:hint="eastAsia"/>
                <w:sz w:val="21"/>
                <w:szCs w:val="21"/>
                <w:vertAlign w:val="superscript"/>
              </w:rPr>
              <w:t>3</w:t>
            </w:r>
            <w:r>
              <w:rPr>
                <w:rFonts w:hint="eastAsia"/>
                <w:sz w:val="21"/>
                <w:szCs w:val="21"/>
              </w:rPr>
              <w:t>装配式建筑需求，助力海南省装配式建筑战略发展。同步推动建设装配式建筑二期项目</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礼纪工业园区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sz w:val="21"/>
                <w:szCs w:val="21"/>
                <w:lang w:val="zh-CN"/>
              </w:rPr>
              <w:t>礼纪新型工业产业园-海南东部清洁能源汽车产业基地</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bCs/>
                <w:sz w:val="21"/>
                <w:szCs w:val="21"/>
                <w:lang w:val="zh-CN"/>
              </w:rPr>
              <w:t>以“绿色智慧出行新海南”为发展总目标，助力海南国家生态文明试验区建设，谋划建设海南东部清洁能源汽车产业基地，推动万宁市及周边市县公交车、巡游出租车、旅游客车、城乡/城际、班线车等车型改造使用清洁能源化汽车。实施汽车清洁能源化工程</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kern w:val="0"/>
                <w:sz w:val="21"/>
                <w:szCs w:val="21"/>
              </w:rPr>
              <w:t>/</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礼纪工业园区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化肥减量增效示范工程</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kern w:val="0"/>
                <w:sz w:val="21"/>
                <w:szCs w:val="21"/>
              </w:rPr>
              <w:t>以耕地生态环境压力大、作物化肥施用减量潜力大的区域为重点，集成推广一批有机无机肥配合施用、农机农艺高度融合、基肥追肥统筹的化肥减量增效技术，突出机械化施肥、种肥同播、水肥一体化及缓释肥应用等高效施肥技术推广，示范带动农民科学施肥</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kern w:val="0"/>
                <w:sz w:val="21"/>
                <w:szCs w:val="21"/>
              </w:rPr>
              <w:t>145.67</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畜禽养殖污染治理工程</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kern w:val="0"/>
                <w:sz w:val="21"/>
                <w:szCs w:val="21"/>
              </w:rPr>
              <w:t>支持畜禽规模养殖场户改进养殖工艺，建设并完善与养殖规模相配套的粪污收集、贮存、处理和利用设施设备，鼓励在养殖较为集中的区域建立有机肥厂</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2</w:t>
            </w:r>
            <w:r>
              <w:rPr>
                <w:kern w:val="0"/>
                <w:sz w:val="21"/>
                <w:szCs w:val="21"/>
              </w:rPr>
              <w:t>37.95</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秸秆综合利用工程</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kern w:val="0"/>
                <w:sz w:val="21"/>
                <w:szCs w:val="21"/>
              </w:rPr>
              <w:t>支持水稻、菠萝秸秆机械粉碎深耕还田作业和秸秆青贮利用，提升秸秆“五料化”利用水平</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2</w:t>
            </w:r>
            <w:r>
              <w:rPr>
                <w:kern w:val="0"/>
                <w:sz w:val="21"/>
                <w:szCs w:val="21"/>
              </w:rPr>
              <w:t>56.67</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2023-</w:t>
            </w:r>
            <w:r>
              <w:rPr>
                <w:rFonts w:hint="eastAsia" w:cs="宋体"/>
                <w:kern w:val="0"/>
                <w:sz w:val="21"/>
                <w:szCs w:val="21"/>
              </w:rPr>
              <w:t>2</w:t>
            </w:r>
            <w:r>
              <w:rPr>
                <w:rFonts w:cs="宋体"/>
                <w:kern w:val="0"/>
                <w:sz w:val="21"/>
                <w:szCs w:val="21"/>
              </w:rPr>
              <w:t>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gridSpan w:val="3"/>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kern w:val="0"/>
                <w:sz w:val="21"/>
                <w:szCs w:val="21"/>
              </w:rPr>
              <w:t>针对2</w:t>
            </w:r>
            <w:r>
              <w:rPr>
                <w:kern w:val="0"/>
                <w:sz w:val="21"/>
                <w:szCs w:val="21"/>
              </w:rPr>
              <w:t>022</w:t>
            </w:r>
            <w:r>
              <w:rPr>
                <w:rFonts w:hint="eastAsia"/>
                <w:kern w:val="0"/>
                <w:sz w:val="21"/>
                <w:szCs w:val="21"/>
              </w:rPr>
              <w:t>年无现状数据指标制作调查统计方案</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kern w:val="0"/>
                <w:sz w:val="21"/>
                <w:szCs w:val="21"/>
              </w:rPr>
            </w:pPr>
            <w:r>
              <w:rPr>
                <w:rFonts w:hint="eastAsia"/>
                <w:kern w:val="0"/>
                <w:sz w:val="21"/>
                <w:szCs w:val="21"/>
              </w:rPr>
              <w:t>针对1</w:t>
            </w:r>
            <w:r>
              <w:rPr>
                <w:kern w:val="0"/>
                <w:sz w:val="21"/>
                <w:szCs w:val="21"/>
              </w:rPr>
              <w:t>.</w:t>
            </w:r>
            <w:r>
              <w:rPr>
                <w:rFonts w:hint="eastAsia"/>
                <w:kern w:val="0"/>
                <w:sz w:val="21"/>
                <w:szCs w:val="21"/>
              </w:rPr>
              <w:t>海岸生态修复（参考性）①</w:t>
            </w:r>
            <w:r>
              <w:rPr>
                <w:rFonts w:hint="eastAsia"/>
                <w:kern w:val="0"/>
                <w:sz w:val="21"/>
                <w:szCs w:val="21"/>
              </w:rPr>
              <w:tab/>
            </w:r>
            <w:r>
              <w:rPr>
                <w:rFonts w:hint="eastAsia"/>
                <w:kern w:val="0"/>
                <w:sz w:val="21"/>
                <w:szCs w:val="21"/>
              </w:rPr>
              <w:t>自然岸线修复长度、②</w:t>
            </w:r>
            <w:r>
              <w:rPr>
                <w:rFonts w:hint="eastAsia"/>
                <w:kern w:val="0"/>
                <w:sz w:val="21"/>
                <w:szCs w:val="21"/>
              </w:rPr>
              <w:tab/>
            </w:r>
            <w:r>
              <w:rPr>
                <w:rFonts w:hint="eastAsia"/>
                <w:kern w:val="0"/>
                <w:sz w:val="21"/>
                <w:szCs w:val="21"/>
              </w:rPr>
              <w:t>滨海湿地修复面积；2</w:t>
            </w:r>
            <w:r>
              <w:rPr>
                <w:kern w:val="0"/>
                <w:sz w:val="21"/>
                <w:szCs w:val="21"/>
              </w:rPr>
              <w:t>.</w:t>
            </w:r>
            <w:r>
              <w:rPr>
                <w:rFonts w:hint="eastAsia"/>
                <w:kern w:val="0"/>
                <w:sz w:val="21"/>
                <w:szCs w:val="21"/>
              </w:rPr>
              <w:t>政府绿色采购比例（约束性）；3</w:t>
            </w:r>
            <w:r>
              <w:rPr>
                <w:kern w:val="0"/>
                <w:sz w:val="21"/>
                <w:szCs w:val="21"/>
              </w:rPr>
              <w:t>.</w:t>
            </w:r>
            <w:r>
              <w:rPr>
                <w:rFonts w:hint="eastAsia"/>
                <w:kern w:val="0"/>
                <w:sz w:val="21"/>
                <w:szCs w:val="21"/>
              </w:rPr>
              <w:t>公众对生态文明建设的满意度（参考性）；4</w:t>
            </w:r>
            <w:r>
              <w:rPr>
                <w:kern w:val="0"/>
                <w:sz w:val="21"/>
                <w:szCs w:val="21"/>
              </w:rPr>
              <w:t>.</w:t>
            </w:r>
            <w:r>
              <w:rPr>
                <w:rFonts w:hint="eastAsia"/>
                <w:kern w:val="0"/>
                <w:sz w:val="21"/>
                <w:szCs w:val="21"/>
              </w:rPr>
              <w:t>公众对生态文明建设的参与度（参考性）等</w:t>
            </w:r>
            <w:r>
              <w:rPr>
                <w:kern w:val="0"/>
                <w:sz w:val="21"/>
                <w:szCs w:val="21"/>
              </w:rPr>
              <w:t>4</w:t>
            </w:r>
            <w:r>
              <w:rPr>
                <w:rFonts w:hint="eastAsia"/>
                <w:kern w:val="0"/>
                <w:sz w:val="21"/>
                <w:szCs w:val="21"/>
              </w:rPr>
              <w:t>个2</w:t>
            </w:r>
            <w:r>
              <w:rPr>
                <w:kern w:val="0"/>
                <w:sz w:val="21"/>
                <w:szCs w:val="21"/>
              </w:rPr>
              <w:t>023</w:t>
            </w:r>
            <w:r>
              <w:rPr>
                <w:rFonts w:hint="eastAsia"/>
                <w:kern w:val="0"/>
                <w:sz w:val="21"/>
                <w:szCs w:val="21"/>
              </w:rPr>
              <w:t>年无现状数据指标，由相关职能部门制定数据统计工作方案，提供统计调查方案及质量控制，统计调查结果及分析报告、原始调查表</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kern w:val="0"/>
                <w:sz w:val="21"/>
                <w:szCs w:val="21"/>
              </w:rPr>
              <w:t>5</w:t>
            </w:r>
            <w:r>
              <w:rPr>
                <w:kern w:val="0"/>
                <w:sz w:val="21"/>
                <w:szCs w:val="21"/>
              </w:rPr>
              <w:t>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kern w:val="0"/>
                <w:sz w:val="21"/>
                <w:szCs w:val="21"/>
              </w:rPr>
              <w:t>市自然资源和规划局、市财政局、市统计局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10060" w:type="dxa"/>
            <w:gridSpan w:val="5"/>
            <w:vAlign w:val="center"/>
          </w:tcPr>
          <w:p>
            <w:pPr>
              <w:tabs>
                <w:tab w:val="left" w:pos="277"/>
                <w:tab w:val="left" w:pos="600"/>
                <w:tab w:val="left" w:pos="780"/>
                <w:tab w:val="left" w:pos="2517"/>
              </w:tabs>
              <w:spacing w:line="240" w:lineRule="auto"/>
              <w:ind w:firstLine="0" w:firstLineChars="0"/>
              <w:jc w:val="center"/>
              <w:textAlignment w:val="baseline"/>
              <w:rPr>
                <w:color w:val="000000"/>
                <w:sz w:val="21"/>
                <w:szCs w:val="21"/>
              </w:rPr>
            </w:pPr>
            <w:r>
              <w:rPr>
                <w:rFonts w:hint="eastAsia"/>
                <w:color w:val="000000"/>
                <w:sz w:val="21"/>
                <w:szCs w:val="21"/>
              </w:rPr>
              <w:t>合计</w:t>
            </w:r>
          </w:p>
        </w:tc>
        <w:tc>
          <w:tcPr>
            <w:tcW w:w="3744"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377114.8</w:t>
            </w:r>
          </w:p>
        </w:tc>
      </w:tr>
    </w:tbl>
    <w:p>
      <w:pPr>
        <w:widowControl/>
        <w:adjustRightInd/>
        <w:snapToGrid/>
        <w:spacing w:line="240" w:lineRule="auto"/>
        <w:ind w:firstLine="0" w:firstLineChars="0"/>
        <w:jc w:val="left"/>
        <w:rPr>
          <w:shd w:val="clear" w:color="auto" w:fill="FFFFFF"/>
        </w:rPr>
      </w:pPr>
    </w:p>
    <w:p>
      <w:pPr>
        <w:widowControl/>
        <w:adjustRightInd/>
        <w:snapToGrid/>
        <w:spacing w:line="240" w:lineRule="auto"/>
        <w:ind w:firstLine="0" w:firstLineChars="0"/>
        <w:jc w:val="left"/>
        <w:rPr>
          <w:shd w:val="clear" w:color="auto" w:fill="FFFFFF"/>
        </w:rPr>
      </w:pPr>
    </w:p>
    <w:bookmarkEnd w:id="91"/>
    <w:p>
      <w:pPr>
        <w:widowControl/>
        <w:adjustRightInd/>
        <w:snapToGrid/>
        <w:spacing w:line="240" w:lineRule="auto"/>
        <w:ind w:firstLine="0" w:firstLineChars="0"/>
        <w:jc w:val="left"/>
        <w:rPr>
          <w:shd w:val="clear" w:color="auto" w:fill="FFFFFF"/>
        </w:rPr>
      </w:pPr>
      <w:r>
        <w:rPr>
          <w:shd w:val="clear" w:color="auto" w:fill="FFFFFF"/>
        </w:rPr>
        <w:br w:type="page"/>
      </w:r>
    </w:p>
    <w:p>
      <w:pPr>
        <w:ind w:firstLine="562"/>
        <w:jc w:val="center"/>
        <w:rPr>
          <w:b/>
          <w:szCs w:val="28"/>
        </w:rPr>
      </w:pPr>
      <w:r>
        <w:rPr>
          <w:b/>
          <w:szCs w:val="28"/>
        </w:rPr>
        <w:t>表4-2  生态</w:t>
      </w:r>
      <w:r>
        <w:rPr>
          <w:rFonts w:hint="eastAsia"/>
          <w:b/>
          <w:szCs w:val="28"/>
        </w:rPr>
        <w:t>文明建设示范区远期</w:t>
      </w:r>
      <w:r>
        <w:rPr>
          <w:b/>
          <w:szCs w:val="28"/>
        </w:rPr>
        <w:t>建设重点工程</w:t>
      </w:r>
    </w:p>
    <w:tbl>
      <w:tblPr>
        <w:tblStyle w:val="28"/>
        <w:tblW w:w="13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4"/>
        <w:gridCol w:w="3049"/>
        <w:gridCol w:w="6237"/>
        <w:gridCol w:w="1134"/>
        <w:gridCol w:w="113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tblHeader/>
          <w:jc w:val="center"/>
        </w:trPr>
        <w:tc>
          <w:tcPr>
            <w:tcW w:w="77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序号</w:t>
            </w: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项目名称</w:t>
            </w:r>
          </w:p>
        </w:tc>
        <w:tc>
          <w:tcPr>
            <w:tcW w:w="6237"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项目内容</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投资</w:t>
            </w:r>
            <w:r>
              <w:rPr>
                <w:rFonts w:hint="eastAsia" w:cs="宋体"/>
                <w:kern w:val="0"/>
                <w:sz w:val="21"/>
                <w:szCs w:val="21"/>
              </w:rPr>
              <w:t>估算</w:t>
            </w:r>
            <w:r>
              <w:rPr>
                <w:rFonts w:cs="宋体"/>
                <w:kern w:val="0"/>
                <w:sz w:val="21"/>
                <w:szCs w:val="21"/>
              </w:rPr>
              <w:t>（万元）</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计划建设周期</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sz w:val="21"/>
                <w:szCs w:val="21"/>
              </w:rPr>
              <w:t>小海流域综合治理生态环境导开发（EOD）项目</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bCs/>
                <w:sz w:val="21"/>
                <w:szCs w:val="21"/>
                <w:lang w:val="zh-CN"/>
              </w:rPr>
              <w:t>推动小海片区EOD项目谋划，将公益性较强的生态环境治理项目与收益较好的关联产业融合，统筹推进一体化实施，逐步实现生态环境治理价值有效转化</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5</w:t>
            </w:r>
            <w:r>
              <w:rPr>
                <w:kern w:val="0"/>
                <w:sz w:val="21"/>
                <w:szCs w:val="21"/>
              </w:rPr>
              <w:t>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2026-</w:t>
            </w:r>
            <w:r>
              <w:rPr>
                <w:rFonts w:hint="eastAsia" w:cs="宋体"/>
                <w:kern w:val="0"/>
                <w:sz w:val="21"/>
                <w:szCs w:val="21"/>
              </w:rPr>
              <w:t>2</w:t>
            </w:r>
            <w:r>
              <w:rPr>
                <w:rFonts w:cs="宋体"/>
                <w:kern w:val="0"/>
                <w:sz w:val="21"/>
                <w:szCs w:val="21"/>
              </w:rPr>
              <w:t>030</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打造生态产品价值实现示范基地</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sz w:val="21"/>
                <w:szCs w:val="21"/>
              </w:rPr>
              <w:t>以兴隆热带植物园为试点，建设“绿水青山就是金山银山”实践创新基地，打造“两山”文化品牌，形成具有万宁特色的“两山”转化模式</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5</w:t>
            </w:r>
            <w:r>
              <w:rPr>
                <w:kern w:val="0"/>
                <w:sz w:val="21"/>
                <w:szCs w:val="21"/>
              </w:rPr>
              <w:t>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2026-</w:t>
            </w:r>
            <w:r>
              <w:rPr>
                <w:rFonts w:hint="eastAsia" w:cs="宋体"/>
                <w:kern w:val="0"/>
                <w:sz w:val="21"/>
                <w:szCs w:val="21"/>
              </w:rPr>
              <w:t>2</w:t>
            </w:r>
            <w:r>
              <w:rPr>
                <w:rFonts w:cs="宋体"/>
                <w:kern w:val="0"/>
                <w:sz w:val="21"/>
                <w:szCs w:val="21"/>
              </w:rPr>
              <w:t>030</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sz w:val="21"/>
                <w:szCs w:val="21"/>
              </w:rPr>
              <w:t>探索开展近零碳试点项目</w:t>
            </w:r>
          </w:p>
        </w:tc>
        <w:tc>
          <w:tcPr>
            <w:tcW w:w="6237" w:type="dxa"/>
          </w:tcPr>
          <w:p>
            <w:pPr>
              <w:tabs>
                <w:tab w:val="left" w:pos="277"/>
                <w:tab w:val="left" w:pos="600"/>
                <w:tab w:val="left" w:pos="780"/>
                <w:tab w:val="left" w:pos="2517"/>
              </w:tabs>
              <w:spacing w:line="240" w:lineRule="auto"/>
              <w:ind w:firstLine="0" w:firstLineChars="0"/>
              <w:jc w:val="left"/>
              <w:textAlignment w:val="baseline"/>
              <w:rPr>
                <w:sz w:val="21"/>
                <w:szCs w:val="21"/>
              </w:rPr>
            </w:pPr>
            <w:r>
              <w:rPr>
                <w:rFonts w:hint="eastAsia"/>
                <w:sz w:val="21"/>
                <w:szCs w:val="21"/>
              </w:rPr>
              <w:t>以槟榔产业园为试点，探索开展近零碳试点项目</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cs="宋体"/>
                <w:kern w:val="0"/>
                <w:sz w:val="21"/>
                <w:szCs w:val="21"/>
              </w:rPr>
              <w:t>1000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cs="宋体"/>
                <w:kern w:val="0"/>
                <w:sz w:val="21"/>
                <w:szCs w:val="21"/>
              </w:rPr>
              <w:t>2026-</w:t>
            </w:r>
            <w:r>
              <w:rPr>
                <w:rFonts w:hint="eastAsia" w:cs="宋体"/>
                <w:kern w:val="0"/>
                <w:sz w:val="21"/>
                <w:szCs w:val="21"/>
              </w:rPr>
              <w:t>2</w:t>
            </w:r>
            <w:r>
              <w:rPr>
                <w:rFonts w:cs="宋体"/>
                <w:kern w:val="0"/>
                <w:sz w:val="21"/>
                <w:szCs w:val="21"/>
              </w:rPr>
              <w:t>030</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cs="宋体"/>
                <w:kern w:val="0"/>
                <w:sz w:val="21"/>
                <w:szCs w:val="21"/>
              </w:rPr>
              <w:t>槟榔产业园管委会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sz w:val="21"/>
                <w:szCs w:val="21"/>
              </w:rPr>
            </w:pPr>
            <w:r>
              <w:rPr>
                <w:rFonts w:hint="eastAsia"/>
                <w:sz w:val="21"/>
                <w:szCs w:val="21"/>
              </w:rPr>
              <w:t>农村黑臭水体综合整治工程</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sz w:val="21"/>
                <w:szCs w:val="21"/>
              </w:rPr>
            </w:pPr>
            <w:r>
              <w:rPr>
                <w:rFonts w:hint="eastAsia" w:cs="宋体"/>
                <w:kern w:val="0"/>
                <w:sz w:val="21"/>
                <w:szCs w:val="21"/>
              </w:rPr>
              <w:t>和乐镇水椰村委会水椰村水椰村委会前排水沟、后安镇曙光村委会丰园村丰园村水利沟、和乐镇罗万村委会坡村仔村坡村仔村塘、和乐镇乐群村委会乐群村镇南庙前、后安镇潮港村委会产尾顶村产尾塘、后安镇曙光村委会冯村冯业强宅前塘、后安镇多荫村委会多荫后村多荫小学对面、长丰镇马坡村委会上坡村文化体育活动室旁、长丰镇长丰村委会王加园顾宅顾贤刚家槟榔厂旁、长丰镇边肚村委会明星村黄业丰家前、万城镇长星村委会长水村长水村11组、后安镇桥头村委会上埇村吴忠明家旁、后安镇曲冲村委会三封坑村万龙便利店旁、龙滚镇新市村委会龙生水,黄锦园村龙生水村排水沟、山根镇山根村委会龙墩村山根中学小学、山根镇扶堤村委会乐文扶提村委会乐文村村路旁、龙滚镇河头村委会河上村,岭下村岭下河上排水沟等</w:t>
            </w:r>
            <w:r>
              <w:rPr>
                <w:rFonts w:cs="宋体"/>
                <w:kern w:val="0"/>
                <w:sz w:val="21"/>
                <w:szCs w:val="21"/>
              </w:rPr>
              <w:t>16</w:t>
            </w:r>
            <w:r>
              <w:rPr>
                <w:rFonts w:hint="eastAsia" w:cs="宋体"/>
                <w:kern w:val="0"/>
                <w:sz w:val="21"/>
                <w:szCs w:val="21"/>
              </w:rPr>
              <w:t>条省管黑臭水体治理工程</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kern w:val="0"/>
                <w:sz w:val="21"/>
                <w:szCs w:val="21"/>
              </w:rPr>
              <w:t>1456</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026-2030</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sz w:val="21"/>
                <w:szCs w:val="21"/>
              </w:rPr>
            </w:pPr>
            <w:r>
              <w:rPr>
                <w:rFonts w:hint="eastAsia"/>
                <w:sz w:val="21"/>
                <w:szCs w:val="21"/>
              </w:rPr>
              <w:t>日月湾海洋生态保护和修复工程</w:t>
            </w:r>
          </w:p>
        </w:tc>
        <w:tc>
          <w:tcPr>
            <w:tcW w:w="6237" w:type="dxa"/>
          </w:tcPr>
          <w:p>
            <w:pPr>
              <w:tabs>
                <w:tab w:val="left" w:pos="277"/>
                <w:tab w:val="left" w:pos="600"/>
                <w:tab w:val="left" w:pos="780"/>
                <w:tab w:val="left" w:pos="2517"/>
              </w:tabs>
              <w:spacing w:line="240" w:lineRule="auto"/>
              <w:ind w:firstLine="0" w:firstLineChars="0"/>
              <w:jc w:val="left"/>
              <w:textAlignment w:val="baseline"/>
              <w:rPr>
                <w:sz w:val="21"/>
                <w:szCs w:val="21"/>
              </w:rPr>
            </w:pPr>
            <w:r>
              <w:rPr>
                <w:sz w:val="21"/>
                <w:szCs w:val="21"/>
              </w:rPr>
              <w:t>1</w:t>
            </w:r>
            <w:r>
              <w:rPr>
                <w:rFonts w:hint="eastAsia"/>
                <w:sz w:val="21"/>
                <w:szCs w:val="21"/>
              </w:rPr>
              <w:t>.田新水入海口生态修复工程。</w:t>
            </w:r>
          </w:p>
          <w:p>
            <w:pPr>
              <w:tabs>
                <w:tab w:val="left" w:pos="277"/>
                <w:tab w:val="left" w:pos="600"/>
                <w:tab w:val="left" w:pos="780"/>
                <w:tab w:val="left" w:pos="2517"/>
              </w:tabs>
              <w:spacing w:line="240" w:lineRule="auto"/>
              <w:ind w:firstLine="0" w:firstLineChars="0"/>
              <w:jc w:val="left"/>
              <w:textAlignment w:val="baseline"/>
              <w:rPr>
                <w:sz w:val="21"/>
                <w:szCs w:val="21"/>
              </w:rPr>
            </w:pPr>
            <w:r>
              <w:rPr>
                <w:sz w:val="21"/>
                <w:szCs w:val="21"/>
              </w:rPr>
              <w:t>2</w:t>
            </w:r>
            <w:r>
              <w:rPr>
                <w:rFonts w:hint="eastAsia"/>
                <w:sz w:val="21"/>
                <w:szCs w:val="21"/>
              </w:rPr>
              <w:t>.日月湾海洋生态环境站建设。</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1</w:t>
            </w:r>
            <w:r>
              <w:rPr>
                <w:rFonts w:cs="宋体"/>
                <w:kern w:val="0"/>
                <w:sz w:val="21"/>
                <w:szCs w:val="21"/>
              </w:rPr>
              <w:t>2000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2026-</w:t>
            </w:r>
            <w:r>
              <w:rPr>
                <w:rFonts w:hint="eastAsia" w:cs="宋体"/>
                <w:kern w:val="0"/>
                <w:sz w:val="21"/>
                <w:szCs w:val="21"/>
              </w:rPr>
              <w:t>2</w:t>
            </w:r>
            <w:r>
              <w:rPr>
                <w:rFonts w:cs="宋体"/>
                <w:kern w:val="0"/>
                <w:sz w:val="21"/>
                <w:szCs w:val="21"/>
              </w:rPr>
              <w:t>030</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cs="宋体"/>
                <w:kern w:val="0"/>
                <w:sz w:val="21"/>
                <w:szCs w:val="21"/>
              </w:rPr>
              <w:t>万宁市老爷海退塘还林种植红树林生态修复工程</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sz w:val="21"/>
                <w:szCs w:val="21"/>
              </w:rPr>
            </w:pPr>
            <w:r>
              <w:rPr>
                <w:rFonts w:hint="eastAsia" w:cs="宋体"/>
                <w:kern w:val="0"/>
                <w:sz w:val="21"/>
                <w:szCs w:val="21"/>
              </w:rPr>
              <w:t>本项目建设面积为763.4亩，选择的造林树种有正红树、白骨壤、榄李、海莲等真红树植物。苗木需求总量为662011株，其中栽植苗木为508717株，补植苗木为153294株</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cs="宋体"/>
                <w:kern w:val="0"/>
                <w:sz w:val="21"/>
                <w:szCs w:val="21"/>
              </w:rPr>
              <w:t>1</w:t>
            </w:r>
            <w:r>
              <w:rPr>
                <w:rFonts w:cs="宋体"/>
                <w:kern w:val="0"/>
                <w:sz w:val="21"/>
                <w:szCs w:val="21"/>
              </w:rPr>
              <w:t>780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cs="宋体"/>
                <w:kern w:val="0"/>
                <w:sz w:val="21"/>
                <w:szCs w:val="21"/>
              </w:rPr>
              <w:t>2026-</w:t>
            </w:r>
            <w:r>
              <w:rPr>
                <w:rFonts w:hint="eastAsia" w:cs="宋体"/>
                <w:kern w:val="0"/>
                <w:sz w:val="21"/>
                <w:szCs w:val="21"/>
              </w:rPr>
              <w:t>2</w:t>
            </w:r>
            <w:r>
              <w:rPr>
                <w:rFonts w:cs="宋体"/>
                <w:kern w:val="0"/>
                <w:sz w:val="21"/>
                <w:szCs w:val="21"/>
              </w:rPr>
              <w:t>030</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cs="宋体"/>
                <w:kern w:val="0"/>
                <w:sz w:val="21"/>
                <w:szCs w:val="21"/>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cs="宋体"/>
                <w:kern w:val="0"/>
                <w:sz w:val="21"/>
                <w:szCs w:val="21"/>
              </w:rPr>
              <w:t>万宁市周家庄新造红树林修复项目</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sz w:val="21"/>
                <w:szCs w:val="21"/>
              </w:rPr>
            </w:pPr>
            <w:r>
              <w:rPr>
                <w:rFonts w:hint="eastAsia" w:cs="宋体"/>
                <w:kern w:val="0"/>
                <w:sz w:val="21"/>
                <w:szCs w:val="21"/>
              </w:rPr>
              <w:t>万宁市周家庄新造红树林修复项目，建设范围主要为周家庄小海沿岸，总面积约28749</w:t>
            </w:r>
            <w:r>
              <w:rPr>
                <w:kern w:val="0"/>
                <w:sz w:val="21"/>
                <w:szCs w:val="21"/>
              </w:rPr>
              <w:t>.9</w:t>
            </w:r>
            <w:r>
              <w:rPr>
                <w:rFonts w:hint="eastAsia"/>
                <w:kern w:val="0"/>
                <w:sz w:val="21"/>
                <w:szCs w:val="21"/>
              </w:rPr>
              <w:t>m</w:t>
            </w:r>
            <w:r>
              <w:rPr>
                <w:kern w:val="0"/>
                <w:sz w:val="21"/>
                <w:szCs w:val="21"/>
                <w:vertAlign w:val="superscript"/>
              </w:rPr>
              <w:t>2</w:t>
            </w:r>
            <w:r>
              <w:rPr>
                <w:kern w:val="0"/>
                <w:sz w:val="21"/>
                <w:szCs w:val="21"/>
              </w:rPr>
              <w:t>.建设内容为造林工程及景观工程，其中造林工程包括回填鱼塘10877.27</w:t>
            </w:r>
            <w:r>
              <w:rPr>
                <w:rFonts w:hint="eastAsia"/>
                <w:kern w:val="0"/>
                <w:sz w:val="21"/>
                <w:szCs w:val="21"/>
              </w:rPr>
              <w:t xml:space="preserve"> m</w:t>
            </w:r>
            <w:r>
              <w:rPr>
                <w:kern w:val="0"/>
                <w:sz w:val="21"/>
                <w:szCs w:val="21"/>
                <w:vertAlign w:val="superscript"/>
              </w:rPr>
              <w:t>2</w:t>
            </w:r>
            <w:r>
              <w:rPr>
                <w:kern w:val="0"/>
                <w:sz w:val="21"/>
                <w:szCs w:val="21"/>
              </w:rPr>
              <w:t>、全垦整地9263.13</w:t>
            </w:r>
            <w:r>
              <w:rPr>
                <w:rFonts w:hint="eastAsia"/>
                <w:kern w:val="0"/>
                <w:sz w:val="21"/>
                <w:szCs w:val="21"/>
              </w:rPr>
              <w:t>m</w:t>
            </w:r>
            <w:r>
              <w:rPr>
                <w:kern w:val="0"/>
                <w:sz w:val="21"/>
                <w:szCs w:val="21"/>
                <w:vertAlign w:val="superscript"/>
              </w:rPr>
              <w:t>2</w:t>
            </w:r>
            <w:r>
              <w:rPr>
                <w:kern w:val="0"/>
                <w:sz w:val="21"/>
                <w:szCs w:val="21"/>
              </w:rPr>
              <w:t>及种植红树、半红树总面积20140.4</w:t>
            </w:r>
            <w:r>
              <w:rPr>
                <w:rFonts w:hint="eastAsia"/>
                <w:kern w:val="0"/>
                <w:sz w:val="21"/>
                <w:szCs w:val="21"/>
              </w:rPr>
              <w:t xml:space="preserve"> m</w:t>
            </w:r>
            <w:r>
              <w:rPr>
                <w:kern w:val="0"/>
                <w:sz w:val="21"/>
                <w:szCs w:val="21"/>
                <w:vertAlign w:val="superscript"/>
              </w:rPr>
              <w:t>2</w:t>
            </w:r>
            <w:r>
              <w:rPr>
                <w:kern w:val="0"/>
                <w:sz w:val="21"/>
                <w:szCs w:val="21"/>
              </w:rPr>
              <w:t>，景观工程包括建设景观步道470</w:t>
            </w:r>
            <w:r>
              <w:rPr>
                <w:rFonts w:hint="eastAsia"/>
                <w:kern w:val="0"/>
                <w:sz w:val="21"/>
                <w:szCs w:val="21"/>
              </w:rPr>
              <w:t>m</w:t>
            </w:r>
            <w:r>
              <w:rPr>
                <w:kern w:val="0"/>
                <w:sz w:val="21"/>
                <w:szCs w:val="21"/>
                <w:vertAlign w:val="superscript"/>
              </w:rPr>
              <w:t>2</w:t>
            </w:r>
            <w:r>
              <w:rPr>
                <w:kern w:val="0"/>
                <w:sz w:val="21"/>
                <w:szCs w:val="21"/>
              </w:rPr>
              <w:t>及栈道平台439.04</w:t>
            </w:r>
            <w:r>
              <w:rPr>
                <w:rFonts w:hint="eastAsia"/>
                <w:kern w:val="0"/>
                <w:sz w:val="21"/>
                <w:szCs w:val="21"/>
              </w:rPr>
              <w:t>m</w:t>
            </w:r>
            <w:r>
              <w:rPr>
                <w:kern w:val="0"/>
                <w:sz w:val="21"/>
                <w:szCs w:val="21"/>
                <w:vertAlign w:val="superscript"/>
              </w:rPr>
              <w:t>2</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cs="宋体"/>
                <w:kern w:val="0"/>
                <w:sz w:val="21"/>
                <w:szCs w:val="21"/>
              </w:rPr>
              <w:t>1</w:t>
            </w:r>
            <w:r>
              <w:rPr>
                <w:rFonts w:cs="宋体"/>
                <w:kern w:val="0"/>
                <w:sz w:val="21"/>
                <w:szCs w:val="21"/>
              </w:rPr>
              <w:t>200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cs="宋体"/>
                <w:kern w:val="0"/>
                <w:sz w:val="21"/>
                <w:szCs w:val="21"/>
              </w:rPr>
              <w:t>2026-</w:t>
            </w:r>
            <w:r>
              <w:rPr>
                <w:rFonts w:hint="eastAsia" w:cs="宋体"/>
                <w:kern w:val="0"/>
                <w:sz w:val="21"/>
                <w:szCs w:val="21"/>
              </w:rPr>
              <w:t>2</w:t>
            </w:r>
            <w:r>
              <w:rPr>
                <w:rFonts w:cs="宋体"/>
                <w:kern w:val="0"/>
                <w:sz w:val="21"/>
                <w:szCs w:val="21"/>
              </w:rPr>
              <w:t>030</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cs="宋体"/>
                <w:kern w:val="0"/>
                <w:sz w:val="21"/>
                <w:szCs w:val="21"/>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sz w:val="21"/>
                <w:szCs w:val="21"/>
              </w:rPr>
              <w:t>湿地修复工程</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sz w:val="21"/>
                <w:szCs w:val="21"/>
              </w:rPr>
            </w:pPr>
            <w:r>
              <w:rPr>
                <w:rFonts w:hint="eastAsia"/>
                <w:sz w:val="21"/>
                <w:szCs w:val="21"/>
              </w:rPr>
              <w:t>万宁水库湖心岛、乐南村沿海岸线、春园村海岸线等2</w:t>
            </w:r>
            <w:r>
              <w:rPr>
                <w:sz w:val="21"/>
                <w:szCs w:val="21"/>
              </w:rPr>
              <w:t>16</w:t>
            </w:r>
            <w:r>
              <w:rPr>
                <w:rFonts w:hint="eastAsia"/>
                <w:sz w:val="21"/>
                <w:szCs w:val="21"/>
              </w:rPr>
              <w:t>公顷河湖海退养还湿，湿地生态保护与修复</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cs="宋体"/>
                <w:kern w:val="0"/>
                <w:sz w:val="21"/>
                <w:szCs w:val="21"/>
              </w:rPr>
              <w:t>5</w:t>
            </w:r>
            <w:r>
              <w:rPr>
                <w:rFonts w:cs="宋体"/>
                <w:kern w:val="0"/>
                <w:sz w:val="21"/>
                <w:szCs w:val="21"/>
              </w:rPr>
              <w:t>6000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cs="宋体"/>
                <w:kern w:val="0"/>
                <w:sz w:val="21"/>
                <w:szCs w:val="21"/>
              </w:rPr>
              <w:t>2026-</w:t>
            </w:r>
            <w:r>
              <w:rPr>
                <w:rFonts w:hint="eastAsia" w:cs="宋体"/>
                <w:kern w:val="0"/>
                <w:sz w:val="21"/>
                <w:szCs w:val="21"/>
              </w:rPr>
              <w:t>2</w:t>
            </w:r>
            <w:r>
              <w:rPr>
                <w:rFonts w:cs="宋体"/>
                <w:kern w:val="0"/>
                <w:sz w:val="21"/>
                <w:szCs w:val="21"/>
              </w:rPr>
              <w:t>030</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cs="宋体"/>
                <w:kern w:val="0"/>
                <w:sz w:val="21"/>
                <w:szCs w:val="21"/>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sz w:val="21"/>
                <w:szCs w:val="21"/>
              </w:rPr>
              <w:t>构筑生态安全屏障工程</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sz w:val="21"/>
                <w:szCs w:val="21"/>
              </w:rPr>
            </w:pPr>
            <w:r>
              <w:rPr>
                <w:rFonts w:hint="eastAsia"/>
                <w:sz w:val="21"/>
                <w:szCs w:val="21"/>
              </w:rPr>
              <w:t>新中农场与大洲村交界区、大洲村与兴隆华侨农场交界区、黄山村西部、东和农场、尖岭等区域构筑1</w:t>
            </w:r>
            <w:r>
              <w:rPr>
                <w:sz w:val="21"/>
                <w:szCs w:val="21"/>
              </w:rPr>
              <w:t>025</w:t>
            </w:r>
            <w:r>
              <w:rPr>
                <w:rFonts w:hint="eastAsia"/>
                <w:sz w:val="21"/>
                <w:szCs w:val="21"/>
              </w:rPr>
              <w:t>公顷生态安全屏障</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cs="宋体"/>
                <w:kern w:val="0"/>
                <w:sz w:val="21"/>
                <w:szCs w:val="21"/>
              </w:rPr>
              <w:t>1</w:t>
            </w:r>
            <w:r>
              <w:rPr>
                <w:rFonts w:cs="宋体"/>
                <w:kern w:val="0"/>
                <w:sz w:val="21"/>
                <w:szCs w:val="21"/>
              </w:rPr>
              <w:t>38375</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cs="宋体"/>
                <w:kern w:val="0"/>
                <w:sz w:val="21"/>
                <w:szCs w:val="21"/>
              </w:rPr>
              <w:t>2026-</w:t>
            </w:r>
            <w:r>
              <w:rPr>
                <w:rFonts w:hint="eastAsia" w:cs="宋体"/>
                <w:kern w:val="0"/>
                <w:sz w:val="21"/>
                <w:szCs w:val="21"/>
              </w:rPr>
              <w:t>2</w:t>
            </w:r>
            <w:r>
              <w:rPr>
                <w:rFonts w:cs="宋体"/>
                <w:kern w:val="0"/>
                <w:sz w:val="21"/>
                <w:szCs w:val="21"/>
              </w:rPr>
              <w:t>030</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kern w:val="0"/>
                <w:sz w:val="21"/>
                <w:szCs w:val="21"/>
              </w:rPr>
            </w:pPr>
            <w:r>
              <w:rPr>
                <w:rFonts w:hint="eastAsia" w:cs="宋体"/>
                <w:kern w:val="0"/>
                <w:sz w:val="21"/>
                <w:szCs w:val="21"/>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sz w:val="21"/>
                <w:szCs w:val="21"/>
              </w:rPr>
              <w:t>建设“美丽海湾”</w:t>
            </w:r>
          </w:p>
        </w:tc>
        <w:tc>
          <w:tcPr>
            <w:tcW w:w="6237" w:type="dxa"/>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sz w:val="21"/>
                <w:szCs w:val="21"/>
              </w:rPr>
              <w:t>在石梅湾、日月湾和神州半岛等开展“美丽海湾”先行示范区建设</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786</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2026-</w:t>
            </w:r>
            <w:r>
              <w:rPr>
                <w:rFonts w:hint="eastAsia" w:cs="宋体"/>
                <w:kern w:val="0"/>
                <w:sz w:val="21"/>
                <w:szCs w:val="21"/>
              </w:rPr>
              <w:t>2</w:t>
            </w:r>
            <w:r>
              <w:rPr>
                <w:rFonts w:cs="宋体"/>
                <w:kern w:val="0"/>
                <w:sz w:val="21"/>
                <w:szCs w:val="21"/>
              </w:rPr>
              <w:t>030</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sz w:val="21"/>
                <w:szCs w:val="21"/>
              </w:rPr>
              <w:t>港北休闲渔业小镇项目</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sz w:val="21"/>
                <w:szCs w:val="21"/>
              </w:rPr>
              <w:t>建设地点在和乐镇。发展潜水观光、潜捕、海钓、观赏鱼、海事体验、住宿美食、科普、节庆等多功能为一体的特色休闲渔业</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1</w:t>
            </w:r>
            <w:r>
              <w:rPr>
                <w:rFonts w:cs="宋体"/>
                <w:kern w:val="0"/>
                <w:sz w:val="21"/>
                <w:szCs w:val="21"/>
              </w:rPr>
              <w:t>4523.5</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2026-</w:t>
            </w:r>
            <w:r>
              <w:rPr>
                <w:rFonts w:hint="eastAsia" w:cs="宋体"/>
                <w:kern w:val="0"/>
                <w:sz w:val="21"/>
                <w:szCs w:val="21"/>
              </w:rPr>
              <w:t>2</w:t>
            </w:r>
            <w:r>
              <w:rPr>
                <w:rFonts w:cs="宋体"/>
                <w:kern w:val="0"/>
                <w:sz w:val="21"/>
                <w:szCs w:val="21"/>
              </w:rPr>
              <w:t>030</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sz w:val="21"/>
                <w:szCs w:val="21"/>
              </w:rPr>
              <w:t>建设环小海田园综合体</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sz w:val="21"/>
                <w:szCs w:val="21"/>
              </w:rPr>
              <w:t>在小海周边镇，打造后安曲冲、潮港、曙光村、和乐水椰、港上、盐墩、万城周家庄、春园、乌场、永范等环小海美丽乡村。结合小海退塘退排工作，发展乡村农旅产业，打造田园综合体，整合环小海生态资源，加快推进海水稻种植和和乐蟹等名优水产品生态养殖；结合休闲渔业试点建设，创建一批休闲渔业精品工程，创建港北、盐墩等美丽渔村，打造一批共享渔庄、渔文化民宿</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23678.9</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2026-</w:t>
            </w:r>
            <w:r>
              <w:rPr>
                <w:rFonts w:hint="eastAsia" w:cs="宋体"/>
                <w:kern w:val="0"/>
                <w:sz w:val="21"/>
                <w:szCs w:val="21"/>
              </w:rPr>
              <w:t>2</w:t>
            </w:r>
            <w:r>
              <w:rPr>
                <w:rFonts w:cs="宋体"/>
                <w:kern w:val="0"/>
                <w:sz w:val="21"/>
                <w:szCs w:val="21"/>
              </w:rPr>
              <w:t>030</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774" w:type="dxa"/>
            <w:vAlign w:val="center"/>
          </w:tcPr>
          <w:p>
            <w:pPr>
              <w:numPr>
                <w:ilvl w:val="0"/>
                <w:numId w:val="2"/>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049"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sz w:val="21"/>
                <w:szCs w:val="21"/>
              </w:rPr>
              <w:t>美丽乡村人居环境改善工程</w:t>
            </w:r>
          </w:p>
        </w:tc>
        <w:tc>
          <w:tcPr>
            <w:tcW w:w="6237" w:type="dxa"/>
            <w:vAlign w:val="center"/>
          </w:tcPr>
          <w:p>
            <w:pPr>
              <w:tabs>
                <w:tab w:val="left" w:pos="277"/>
                <w:tab w:val="left" w:pos="600"/>
                <w:tab w:val="left" w:pos="780"/>
                <w:tab w:val="left" w:pos="2517"/>
              </w:tabs>
              <w:spacing w:line="240" w:lineRule="auto"/>
              <w:ind w:firstLine="0" w:firstLineChars="0"/>
              <w:jc w:val="left"/>
              <w:textAlignment w:val="baseline"/>
              <w:rPr>
                <w:rFonts w:cs="宋体"/>
                <w:kern w:val="0"/>
                <w:sz w:val="21"/>
                <w:szCs w:val="21"/>
              </w:rPr>
            </w:pPr>
            <w:r>
              <w:rPr>
                <w:rFonts w:hint="eastAsia"/>
                <w:sz w:val="21"/>
                <w:szCs w:val="21"/>
              </w:rPr>
              <w:t>万城镇太阳河下游农村、后安镇和乐镇龙首河龙尾河下游段农村等7</w:t>
            </w:r>
            <w:r>
              <w:rPr>
                <w:sz w:val="21"/>
                <w:szCs w:val="21"/>
              </w:rPr>
              <w:t>1</w:t>
            </w:r>
            <w:r>
              <w:rPr>
                <w:rFonts w:hint="eastAsia"/>
                <w:sz w:val="21"/>
                <w:szCs w:val="21"/>
              </w:rPr>
              <w:t>公顷</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3</w:t>
            </w:r>
            <w:r>
              <w:rPr>
                <w:rFonts w:cs="宋体"/>
                <w:kern w:val="0"/>
                <w:sz w:val="21"/>
                <w:szCs w:val="21"/>
              </w:rPr>
              <w:t>5500</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2026-</w:t>
            </w:r>
            <w:r>
              <w:rPr>
                <w:rFonts w:hint="eastAsia" w:cs="宋体"/>
                <w:kern w:val="0"/>
                <w:sz w:val="21"/>
                <w:szCs w:val="21"/>
              </w:rPr>
              <w:t>2</w:t>
            </w:r>
            <w:r>
              <w:rPr>
                <w:rFonts w:cs="宋体"/>
                <w:kern w:val="0"/>
                <w:sz w:val="21"/>
                <w:szCs w:val="21"/>
              </w:rPr>
              <w:t>030</w:t>
            </w:r>
            <w:r>
              <w:rPr>
                <w:rFonts w:hint="eastAsia" w:cs="宋体"/>
                <w:kern w:val="0"/>
                <w:sz w:val="21"/>
                <w:szCs w:val="21"/>
              </w:rPr>
              <w:t>年</w:t>
            </w:r>
          </w:p>
        </w:tc>
        <w:tc>
          <w:tcPr>
            <w:tcW w:w="14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市自然资源和规划局、市农业农村局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10060" w:type="dxa"/>
            <w:gridSpan w:val="3"/>
            <w:vAlign w:val="center"/>
          </w:tcPr>
          <w:p>
            <w:pPr>
              <w:tabs>
                <w:tab w:val="left" w:pos="277"/>
                <w:tab w:val="left" w:pos="600"/>
                <w:tab w:val="left" w:pos="780"/>
                <w:tab w:val="left" w:pos="2517"/>
              </w:tabs>
              <w:spacing w:line="240" w:lineRule="auto"/>
              <w:ind w:firstLine="0" w:firstLineChars="0"/>
              <w:jc w:val="center"/>
              <w:textAlignment w:val="baseline"/>
              <w:rPr>
                <w:color w:val="000000"/>
                <w:sz w:val="21"/>
                <w:szCs w:val="21"/>
              </w:rPr>
            </w:pPr>
            <w:r>
              <w:rPr>
                <w:rFonts w:hint="eastAsia"/>
                <w:color w:val="000000"/>
                <w:sz w:val="21"/>
                <w:szCs w:val="21"/>
              </w:rPr>
              <w:t>合计</w:t>
            </w:r>
          </w:p>
        </w:tc>
        <w:tc>
          <w:tcPr>
            <w:tcW w:w="3744" w:type="dxa"/>
            <w:gridSpan w:val="3"/>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289299.4</w:t>
            </w:r>
          </w:p>
        </w:tc>
      </w:tr>
    </w:tbl>
    <w:p>
      <w:pPr>
        <w:widowControl/>
        <w:adjustRightInd/>
        <w:snapToGrid/>
        <w:spacing w:line="240" w:lineRule="auto"/>
        <w:ind w:firstLine="0" w:firstLineChars="0"/>
        <w:jc w:val="left"/>
        <w:rPr>
          <w:shd w:val="clear" w:color="auto" w:fill="FFFFFF"/>
        </w:rPr>
      </w:pPr>
    </w:p>
    <w:bookmarkEnd w:id="92"/>
    <w:p>
      <w:pPr>
        <w:widowControl/>
        <w:adjustRightInd/>
        <w:snapToGrid/>
        <w:spacing w:line="240" w:lineRule="auto"/>
        <w:ind w:firstLine="0" w:firstLineChars="0"/>
        <w:jc w:val="left"/>
        <w:rPr>
          <w:shd w:val="clear" w:color="auto" w:fill="FFFFFF"/>
        </w:rPr>
      </w:pPr>
    </w:p>
    <w:p>
      <w:pPr>
        <w:widowControl/>
        <w:adjustRightInd/>
        <w:snapToGrid/>
        <w:spacing w:line="240" w:lineRule="auto"/>
        <w:ind w:firstLine="0" w:firstLineChars="0"/>
        <w:jc w:val="left"/>
        <w:rPr>
          <w:shd w:val="clear" w:color="auto" w:fill="FFFFFF"/>
        </w:rPr>
      </w:pPr>
    </w:p>
    <w:p>
      <w:pPr>
        <w:widowControl/>
        <w:adjustRightInd/>
        <w:snapToGrid/>
        <w:spacing w:line="240" w:lineRule="auto"/>
        <w:ind w:firstLine="0" w:firstLineChars="0"/>
        <w:jc w:val="left"/>
      </w:pPr>
      <w:r>
        <w:br w:type="page"/>
      </w:r>
    </w:p>
    <w:p>
      <w:pPr>
        <w:ind w:firstLine="560"/>
        <w:sectPr>
          <w:pgSz w:w="16838" w:h="11906" w:orient="landscape"/>
          <w:pgMar w:top="1797" w:right="1440" w:bottom="1797" w:left="1440" w:header="851" w:footer="992" w:gutter="0"/>
          <w:cols w:space="720" w:num="1"/>
          <w:docGrid w:linePitch="381" w:charSpace="0"/>
        </w:sectPr>
      </w:pPr>
    </w:p>
    <w:p>
      <w:pPr>
        <w:pStyle w:val="3"/>
      </w:pPr>
      <w:bookmarkStart w:id="95" w:name="_Toc152148744"/>
      <w:r>
        <w:rPr>
          <w:rFonts w:hint="eastAsia"/>
        </w:rPr>
        <w:t>4</w:t>
      </w:r>
      <w:r>
        <w:t xml:space="preserve">.2 </w:t>
      </w:r>
      <w:r>
        <w:rPr>
          <w:rFonts w:hint="eastAsia"/>
        </w:rPr>
        <w:t>效益分析</w:t>
      </w:r>
      <w:bookmarkEnd w:id="95"/>
    </w:p>
    <w:p>
      <w:pPr>
        <w:pStyle w:val="4"/>
      </w:pPr>
      <w:bookmarkStart w:id="96" w:name="_Toc152148745"/>
      <w:r>
        <w:t xml:space="preserve">4.2.1 </w:t>
      </w:r>
      <w:r>
        <w:rPr>
          <w:rFonts w:hint="eastAsia"/>
        </w:rPr>
        <w:t>生态环境效益</w:t>
      </w:r>
      <w:bookmarkEnd w:id="96"/>
    </w:p>
    <w:p>
      <w:pPr>
        <w:ind w:firstLine="560"/>
      </w:pPr>
      <w:r>
        <w:rPr>
          <w:rFonts w:hint="eastAsia"/>
        </w:rPr>
        <w:t>规划投资</w:t>
      </w:r>
      <w:r>
        <w:t>9.65</w:t>
      </w:r>
      <w:r>
        <w:rPr>
          <w:rFonts w:hint="eastAsia"/>
        </w:rPr>
        <w:t>亿元开展农村生活污水处理工程、投资2</w:t>
      </w:r>
      <w:r>
        <w:t>57</w:t>
      </w:r>
      <w:r>
        <w:rPr>
          <w:rFonts w:hint="eastAsia"/>
        </w:rPr>
        <w:t>万元开展秸秆综合利用工程、投资</w:t>
      </w:r>
      <w:r>
        <w:t>5.71</w:t>
      </w:r>
      <w:r>
        <w:rPr>
          <w:rFonts w:hint="eastAsia"/>
        </w:rPr>
        <w:t>亿元开展村镇饮用水卫生合格率提升工程。通过实施相关重点工程，生态文明建设示范区考核指标中的秸秆综合利用率、村镇饮用水卫生合格率、农村生活污水行政村治理率分别达到9</w:t>
      </w:r>
      <w:r>
        <w:t>0</w:t>
      </w:r>
      <w:r>
        <w:rPr>
          <w:rFonts w:hint="eastAsia"/>
        </w:rPr>
        <w:t>%、1</w:t>
      </w:r>
      <w:r>
        <w:t>00</w:t>
      </w:r>
      <w:r>
        <w:rPr>
          <w:rFonts w:hint="eastAsia"/>
        </w:rPr>
        <w:t>%、6</w:t>
      </w:r>
      <w:r>
        <w:t>6.8</w:t>
      </w:r>
      <w:r>
        <w:rPr>
          <w:rFonts w:hint="eastAsia"/>
        </w:rPr>
        <w:t>%，达到国家考核标准。通过饮用水水源地保护工程、水污染治理、流域与滨海生态保护与修复等工程建设，区域内的生态环境基础设施不断完善，污染物处置设施运行将更加规范，水、大气、土壤环境风险管控将进一步加强，环境风险防控能力将显著提升，生态环境监测一体化能力将全面加强，推动万宁市生态文明建设水平稳步提升，产业布局和空间开发布局更加合理，生态环境质量持续改善。在保持生态环境质量的基础上，进行生态系统服务效能的提升，可持续的将生态价值转化为生态产品。</w:t>
      </w:r>
    </w:p>
    <w:p>
      <w:pPr>
        <w:pStyle w:val="4"/>
      </w:pPr>
      <w:bookmarkStart w:id="97" w:name="_Toc152148746"/>
      <w:r>
        <w:rPr>
          <w:rFonts w:hint="eastAsia"/>
        </w:rPr>
        <w:t>4</w:t>
      </w:r>
      <w:r>
        <w:t xml:space="preserve">.2.2 </w:t>
      </w:r>
      <w:r>
        <w:rPr>
          <w:rFonts w:hint="eastAsia"/>
        </w:rPr>
        <w:t>社会效益</w:t>
      </w:r>
      <w:bookmarkEnd w:id="97"/>
    </w:p>
    <w:p>
      <w:pPr>
        <w:ind w:firstLine="560"/>
        <w:rPr>
          <w:rFonts w:ascii="宋体" w:hAnsi="宋体" w:cs="微软雅黑"/>
          <w:sz w:val="32"/>
        </w:rPr>
      </w:pPr>
      <w:r>
        <w:rPr>
          <w:rFonts w:hint="eastAsia"/>
        </w:rPr>
        <w:t>生态文明示范区创建是在政府指导下，全区人民共同参与的综合性建设活动，将产生良好的社会效益。《规划》实施后，将推动万宁市生态环境质量持续提升，生态经济绿色、高效发展，人居环境不断改善，生态文明制度体系日益完善，公众对生态文明建设的满意度和参与度不断提高，万宁市人与人、人与自然和谐共生格局和绿色生产生活方式将逐步形成，城乡区域发展和居民生活水平将显著提升，生态环境改善和经济发展协调共进，居民共享更多生态红利，更好依靠优质生态环境提高收入，加快缩小城乡差距，促进社会公平，对维护社会稳定、构建和谐社会起到积极作用。《规划》重点工程实施，可以增加</w:t>
      </w:r>
      <w:r>
        <w:t>5000</w:t>
      </w:r>
      <w:r>
        <w:rPr>
          <w:rFonts w:hint="eastAsia"/>
        </w:rPr>
        <w:t>个以上的工作岗位，实现农村闲置劳动力的返乡劳工，促进乡村振兴和农民收入的增加，提升人民群众幸福感。</w:t>
      </w:r>
    </w:p>
    <w:p>
      <w:pPr>
        <w:pStyle w:val="4"/>
      </w:pPr>
      <w:bookmarkStart w:id="98" w:name="_Toc152148747"/>
      <w:r>
        <w:rPr>
          <w:rFonts w:hint="eastAsia"/>
        </w:rPr>
        <w:t>4</w:t>
      </w:r>
      <w:r>
        <w:t xml:space="preserve">.2.3 </w:t>
      </w:r>
      <w:r>
        <w:rPr>
          <w:rFonts w:hint="eastAsia"/>
        </w:rPr>
        <w:t>经济效益</w:t>
      </w:r>
      <w:bookmarkEnd w:id="98"/>
    </w:p>
    <w:p>
      <w:pPr>
        <w:ind w:firstLine="560"/>
        <w:rPr>
          <w:lang w:val="zh-CN"/>
        </w:rPr>
      </w:pPr>
      <w:r>
        <w:rPr>
          <w:rFonts w:hint="eastAsia"/>
        </w:rPr>
        <w:t>积极发展可再生能源、调整能源结构，优化交通能源结构，推进海洋产业、高效热带作物种植加工、滨海旅游休闲、大健康等优势传统产业转型升级，促进绿色建材、专用车制造、运动装备、生物医药、消费品制造、宠物食品等绿色经济高质量发展，可加快形成资源节约型、环境友好型的生产方式。通过生态文明建设示范区创建，可大大提升万宁的生态产品总值，</w:t>
      </w:r>
      <w:r>
        <w:rPr>
          <w:rFonts w:hint="eastAsia"/>
          <w:lang w:val="zh-CN"/>
        </w:rPr>
        <w:t>城镇居住环境明显提升。据初步估算，生态文明建设带来的</w:t>
      </w:r>
      <w:r>
        <w:rPr>
          <w:rFonts w:hint="eastAsia"/>
        </w:rPr>
        <w:t>直接生态产品价值增量约5亿元，长期生态产品价值增量约</w:t>
      </w:r>
      <w:r>
        <w:t>17</w:t>
      </w:r>
      <w:r>
        <w:rPr>
          <w:rFonts w:hint="eastAsia"/>
        </w:rPr>
        <w:t>亿元。此外，通过城镇内涝防治、热岛效应减缓等措施，降低自然灾害的经济损失。</w:t>
      </w:r>
      <w:r>
        <w:rPr>
          <w:rFonts w:hint="eastAsia"/>
          <w:lang w:val="zh-CN"/>
        </w:rPr>
        <w:t>城市环境的改善，城市对外吸引力提升，旅游度假外来人口增加。</w:t>
      </w:r>
    </w:p>
    <w:p>
      <w:pPr>
        <w:widowControl/>
        <w:adjustRightInd/>
        <w:snapToGrid/>
        <w:spacing w:line="240" w:lineRule="auto"/>
        <w:ind w:firstLine="0" w:firstLineChars="0"/>
        <w:jc w:val="left"/>
        <w:rPr>
          <w:lang w:val="zh-CN"/>
        </w:rPr>
      </w:pPr>
      <w:r>
        <w:rPr>
          <w:lang w:val="zh-CN"/>
        </w:rPr>
        <w:br w:type="page"/>
      </w:r>
    </w:p>
    <w:p>
      <w:pPr>
        <w:pStyle w:val="2"/>
      </w:pPr>
      <w:bookmarkStart w:id="99" w:name="_Toc152148748"/>
      <w:r>
        <w:rPr>
          <w:rFonts w:hint="eastAsia"/>
        </w:rPr>
        <w:t>5</w:t>
      </w:r>
      <w:r>
        <w:t xml:space="preserve">. </w:t>
      </w:r>
      <w:r>
        <w:rPr>
          <w:rFonts w:hint="eastAsia"/>
        </w:rPr>
        <w:t>保障措施</w:t>
      </w:r>
      <w:bookmarkEnd w:id="99"/>
    </w:p>
    <w:p>
      <w:pPr>
        <w:pStyle w:val="3"/>
      </w:pPr>
      <w:bookmarkStart w:id="100" w:name="_Toc152148749"/>
      <w:r>
        <w:t xml:space="preserve">5.1 </w:t>
      </w:r>
      <w:r>
        <w:rPr>
          <w:rFonts w:hint="eastAsia"/>
        </w:rPr>
        <w:t>强化组织领导</w:t>
      </w:r>
      <w:bookmarkEnd w:id="100"/>
    </w:p>
    <w:p>
      <w:pPr>
        <w:ind w:firstLine="560"/>
      </w:pPr>
      <w:r>
        <w:rPr>
          <w:rFonts w:hint="eastAsia"/>
        </w:rPr>
        <w:t>建立万宁市生态文明示范区创建工作领导小组，抽调人员组建市创建办，具体负责生态文明示范区创建工作，各乡镇（街道）参照建立相应工作机制，各村（社区）实行基层生态环保网格化管理，迅速形成各级各部门齐抓共管、相互配合、共同推进的创建工作机制。相关职能部门加快制定海岸生态修复（自然岸线修复长度和滨海湿地修复面积）、政府绿色采购比例、公众对生态文明建设的满意度和参与度方面的数据统计工作方案。</w:t>
      </w:r>
    </w:p>
    <w:p>
      <w:pPr>
        <w:pStyle w:val="3"/>
      </w:pPr>
      <w:bookmarkStart w:id="101" w:name="_Toc152148750"/>
      <w:r>
        <w:rPr>
          <w:rFonts w:hint="eastAsia"/>
        </w:rPr>
        <w:t>5</w:t>
      </w:r>
      <w:r>
        <w:t xml:space="preserve">.2 </w:t>
      </w:r>
      <w:r>
        <w:rPr>
          <w:rFonts w:hint="eastAsia"/>
        </w:rPr>
        <w:t>强化监督考核</w:t>
      </w:r>
      <w:bookmarkEnd w:id="101"/>
    </w:p>
    <w:p>
      <w:pPr>
        <w:ind w:firstLine="560"/>
      </w:pPr>
      <w:r>
        <w:rPr>
          <w:rFonts w:hint="eastAsia"/>
        </w:rPr>
        <w:t>加强考核力度，严格考核结果运用，考核结果与党政班子实绩考评等挂钩。健全完善领导带头督查、部门联合督查、代表委员视察监督、新闻媒体曝光监督制度，形成全方位、多层次、常态化大监督格局。定期对相关责任单位工作进展和完成情况进行抽查，对工作不力的予以通报批评，责令限期整改。</w:t>
      </w:r>
    </w:p>
    <w:p>
      <w:pPr>
        <w:pStyle w:val="3"/>
      </w:pPr>
      <w:bookmarkStart w:id="102" w:name="_Toc152148751"/>
      <w:r>
        <w:rPr>
          <w:rFonts w:hint="eastAsia"/>
        </w:rPr>
        <w:t>5</w:t>
      </w:r>
      <w:r>
        <w:t xml:space="preserve">.3 </w:t>
      </w:r>
      <w:r>
        <w:rPr>
          <w:rFonts w:hint="eastAsia"/>
        </w:rPr>
        <w:t>强化资金统筹</w:t>
      </w:r>
      <w:bookmarkEnd w:id="102"/>
    </w:p>
    <w:p>
      <w:pPr>
        <w:autoSpaceDE w:val="0"/>
        <w:autoSpaceDN w:val="0"/>
        <w:ind w:firstLine="562"/>
        <w:rPr>
          <w:rFonts w:ascii="宋体" w:hAnsi="宋体" w:cs="楷体_GB2312"/>
          <w:b/>
          <w:kern w:val="0"/>
          <w:szCs w:val="28"/>
        </w:rPr>
      </w:pPr>
      <w:r>
        <w:rPr>
          <w:rFonts w:hint="eastAsia" w:ascii="宋体" w:hAnsi="宋体" w:cs="楷体_GB2312"/>
          <w:b/>
          <w:kern w:val="0"/>
          <w:szCs w:val="28"/>
        </w:rPr>
        <w:t>（一）</w:t>
      </w:r>
      <w:r>
        <w:rPr>
          <w:rFonts w:ascii="宋体" w:hAnsi="宋体" w:cs="楷体_GB2312"/>
          <w:b/>
          <w:kern w:val="0"/>
          <w:szCs w:val="28"/>
        </w:rPr>
        <w:t>加大财政</w:t>
      </w:r>
      <w:r>
        <w:rPr>
          <w:rFonts w:hint="eastAsia" w:ascii="宋体" w:hAnsi="宋体" w:cs="楷体_GB2312"/>
          <w:b/>
          <w:kern w:val="0"/>
          <w:szCs w:val="28"/>
        </w:rPr>
        <w:t>对生态文明建设的投入</w:t>
      </w:r>
      <w:r>
        <w:rPr>
          <w:rFonts w:ascii="宋体" w:hAnsi="宋体" w:cs="楷体_GB2312"/>
          <w:b/>
          <w:kern w:val="0"/>
          <w:szCs w:val="28"/>
        </w:rPr>
        <w:t>力度</w:t>
      </w:r>
    </w:p>
    <w:p>
      <w:pPr>
        <w:autoSpaceDE w:val="0"/>
        <w:autoSpaceDN w:val="0"/>
        <w:ind w:firstLine="560"/>
        <w:rPr>
          <w:rFonts w:ascii="宋体" w:hAnsi="宋体" w:cs="仿宋_GB2312"/>
          <w:b/>
          <w:kern w:val="0"/>
          <w:szCs w:val="28"/>
        </w:rPr>
      </w:pPr>
      <w:r>
        <w:rPr>
          <w:rFonts w:ascii="宋体" w:hAnsi="宋体" w:cs="仿宋_GB2312"/>
          <w:kern w:val="0"/>
          <w:szCs w:val="28"/>
        </w:rPr>
        <w:t>加大万宁市本级年度财政预算对生态文明建设</w:t>
      </w:r>
      <w:r>
        <w:rPr>
          <w:rFonts w:hint="eastAsia" w:ascii="宋体" w:hAnsi="宋体" w:cs="仿宋_GB2312"/>
          <w:kern w:val="0"/>
          <w:szCs w:val="28"/>
        </w:rPr>
        <w:t>示范区</w:t>
      </w:r>
      <w:r>
        <w:rPr>
          <w:rFonts w:ascii="宋体" w:hAnsi="宋体" w:cs="仿宋_GB2312"/>
          <w:kern w:val="0"/>
          <w:szCs w:val="28"/>
        </w:rPr>
        <w:t>资金的投入力度。对于生态保护和建设、重要生态功能区、自然保护区和生物多样性保护与建设、生态环境监督能力建设等社会公益型项目，要以政府投资为主体，实施多元化投资。重大的生态文明建设项目应优先纳入国民经济社会发展计划。同时万宁市应拓宽财政支持来源。</w:t>
      </w:r>
    </w:p>
    <w:p>
      <w:pPr>
        <w:autoSpaceDE w:val="0"/>
        <w:autoSpaceDN w:val="0"/>
        <w:ind w:firstLine="562"/>
        <w:rPr>
          <w:rFonts w:ascii="宋体" w:hAnsi="宋体" w:cs="楷体_GB2312"/>
          <w:b/>
          <w:kern w:val="0"/>
          <w:szCs w:val="28"/>
        </w:rPr>
      </w:pPr>
      <w:r>
        <w:rPr>
          <w:rFonts w:hint="eastAsia" w:ascii="宋体" w:hAnsi="宋体" w:cs="楷体_GB2312"/>
          <w:b/>
          <w:kern w:val="0"/>
          <w:szCs w:val="28"/>
        </w:rPr>
        <w:t>（二）</w:t>
      </w:r>
      <w:r>
        <w:rPr>
          <w:rFonts w:ascii="宋体" w:hAnsi="宋体" w:cs="楷体_GB2312"/>
          <w:b/>
          <w:kern w:val="0"/>
          <w:szCs w:val="28"/>
        </w:rPr>
        <w:t>建立多元化</w:t>
      </w:r>
      <w:r>
        <w:rPr>
          <w:rFonts w:hint="eastAsia" w:ascii="宋体" w:hAnsi="宋体" w:cs="楷体_GB2312"/>
          <w:b/>
          <w:kern w:val="0"/>
          <w:szCs w:val="28"/>
        </w:rPr>
        <w:t>投</w:t>
      </w:r>
      <w:r>
        <w:rPr>
          <w:rFonts w:ascii="宋体" w:hAnsi="宋体" w:cs="楷体_GB2312"/>
          <w:b/>
          <w:kern w:val="0"/>
          <w:szCs w:val="28"/>
        </w:rPr>
        <w:t>融资</w:t>
      </w:r>
      <w:r>
        <w:rPr>
          <w:rFonts w:hint="eastAsia" w:ascii="宋体" w:hAnsi="宋体" w:cs="楷体_GB2312"/>
          <w:b/>
          <w:kern w:val="0"/>
          <w:szCs w:val="28"/>
        </w:rPr>
        <w:t>渠道</w:t>
      </w:r>
    </w:p>
    <w:p>
      <w:pPr>
        <w:autoSpaceDE w:val="0"/>
        <w:autoSpaceDN w:val="0"/>
        <w:ind w:firstLine="560"/>
        <w:rPr>
          <w:rFonts w:ascii="宋体" w:hAnsi="宋体" w:cs="仿宋_GB2312"/>
          <w:kern w:val="0"/>
          <w:szCs w:val="28"/>
        </w:rPr>
      </w:pPr>
      <w:r>
        <w:t>发挥市场机制配置资源的基础性作用，支持生态</w:t>
      </w:r>
      <w:r>
        <w:rPr>
          <w:rFonts w:hint="eastAsia"/>
        </w:rPr>
        <w:t>修复治理</w:t>
      </w:r>
      <w:r>
        <w:t>项目</w:t>
      </w:r>
      <w:r>
        <w:rPr>
          <w:rFonts w:hint="eastAsia"/>
        </w:rPr>
        <w:t>采用生态环境引导开发模式（E</w:t>
      </w:r>
      <w:r>
        <w:t>OD）进行设备融资</w:t>
      </w:r>
      <w:r>
        <w:rPr>
          <w:rFonts w:hint="eastAsia"/>
        </w:rPr>
        <w:t>、</w:t>
      </w:r>
      <w:r>
        <w:t>上市融资，允许经营生态建设项目的企业以特许经营权、林地、矿山使用权等作抵押进行贷款。积极引进、推广国内外的先进技术和管理经验。</w:t>
      </w:r>
      <w:r>
        <w:rPr>
          <w:rFonts w:hint="eastAsia"/>
        </w:rPr>
        <w:t>充分</w:t>
      </w:r>
      <w:r>
        <w:rPr>
          <w:rFonts w:hint="eastAsia" w:ascii="宋体" w:hAnsi="宋体" w:cs="仿宋_GB2312"/>
          <w:kern w:val="0"/>
          <w:szCs w:val="28"/>
        </w:rPr>
        <w:t>利用海南自贸港建设机遇，引进</w:t>
      </w:r>
      <w:r>
        <w:rPr>
          <w:rFonts w:ascii="宋体" w:hAnsi="宋体" w:cs="仿宋_GB2312"/>
          <w:kern w:val="0"/>
          <w:szCs w:val="28"/>
        </w:rPr>
        <w:t>国</w:t>
      </w:r>
      <w:r>
        <w:rPr>
          <w:rFonts w:hint="eastAsia" w:ascii="宋体" w:hAnsi="宋体" w:cs="仿宋_GB2312"/>
          <w:kern w:val="0"/>
          <w:szCs w:val="28"/>
        </w:rPr>
        <w:t>内</w:t>
      </w:r>
      <w:r>
        <w:rPr>
          <w:rFonts w:ascii="宋体" w:hAnsi="宋体" w:cs="仿宋_GB2312"/>
          <w:kern w:val="0"/>
          <w:szCs w:val="28"/>
        </w:rPr>
        <w:t>外企业</w:t>
      </w:r>
      <w:r>
        <w:rPr>
          <w:rFonts w:hint="eastAsia" w:ascii="宋体" w:hAnsi="宋体" w:cs="仿宋_GB2312"/>
          <w:kern w:val="0"/>
          <w:szCs w:val="28"/>
        </w:rPr>
        <w:t>参与</w:t>
      </w:r>
      <w:r>
        <w:rPr>
          <w:rFonts w:ascii="宋体" w:hAnsi="宋体" w:cs="仿宋_GB2312"/>
          <w:kern w:val="0"/>
          <w:szCs w:val="28"/>
        </w:rPr>
        <w:t>经过细致规划、科学论证、市场前景和回报效益</w:t>
      </w:r>
      <w:r>
        <w:rPr>
          <w:rFonts w:hint="eastAsia" w:ascii="宋体" w:hAnsi="宋体" w:cs="仿宋_GB2312"/>
          <w:kern w:val="0"/>
          <w:szCs w:val="28"/>
        </w:rPr>
        <w:t>高</w:t>
      </w:r>
      <w:r>
        <w:rPr>
          <w:rFonts w:ascii="宋体" w:hAnsi="宋体" w:cs="仿宋_GB2312"/>
          <w:kern w:val="0"/>
          <w:szCs w:val="28"/>
        </w:rPr>
        <w:t>的生态</w:t>
      </w:r>
      <w:r>
        <w:rPr>
          <w:rFonts w:hint="eastAsia" w:ascii="宋体" w:hAnsi="宋体" w:cs="仿宋_GB2312"/>
          <w:kern w:val="0"/>
          <w:szCs w:val="28"/>
        </w:rPr>
        <w:t>环境治理</w:t>
      </w:r>
      <w:r>
        <w:rPr>
          <w:rFonts w:ascii="宋体" w:hAnsi="宋体" w:cs="仿宋_GB2312"/>
          <w:kern w:val="0"/>
          <w:szCs w:val="28"/>
        </w:rPr>
        <w:t>项目建设。</w:t>
      </w:r>
    </w:p>
    <w:p>
      <w:pPr>
        <w:autoSpaceDE w:val="0"/>
        <w:autoSpaceDN w:val="0"/>
        <w:ind w:firstLine="562"/>
        <w:rPr>
          <w:rFonts w:ascii="宋体" w:hAnsi="宋体" w:cs="楷体_GB2312"/>
          <w:b/>
          <w:kern w:val="0"/>
          <w:szCs w:val="28"/>
        </w:rPr>
      </w:pPr>
      <w:r>
        <w:rPr>
          <w:rFonts w:hint="eastAsia" w:ascii="宋体" w:hAnsi="宋体" w:cs="楷体_GB2312"/>
          <w:b/>
          <w:kern w:val="0"/>
          <w:szCs w:val="28"/>
        </w:rPr>
        <w:t>（三）加快</w:t>
      </w:r>
      <w:r>
        <w:rPr>
          <w:rFonts w:ascii="宋体" w:hAnsi="宋体" w:cs="楷体_GB2312"/>
          <w:b/>
          <w:kern w:val="0"/>
          <w:szCs w:val="28"/>
        </w:rPr>
        <w:t>推进生态</w:t>
      </w:r>
      <w:r>
        <w:rPr>
          <w:rFonts w:hint="eastAsia" w:ascii="宋体" w:hAnsi="宋体" w:cs="楷体_GB2312"/>
          <w:b/>
          <w:kern w:val="0"/>
          <w:szCs w:val="28"/>
        </w:rPr>
        <w:t>环境</w:t>
      </w:r>
      <w:r>
        <w:rPr>
          <w:rFonts w:ascii="宋体" w:hAnsi="宋体" w:cs="楷体_GB2312"/>
          <w:b/>
          <w:kern w:val="0"/>
          <w:szCs w:val="28"/>
        </w:rPr>
        <w:t>建设市场化产业化进程</w:t>
      </w:r>
    </w:p>
    <w:p>
      <w:pPr>
        <w:autoSpaceDE w:val="0"/>
        <w:autoSpaceDN w:val="0"/>
        <w:ind w:firstLine="560"/>
        <w:rPr>
          <w:rFonts w:ascii="宋体" w:hAnsi="宋体" w:cs="仿宋_GB2312"/>
          <w:kern w:val="0"/>
          <w:szCs w:val="28"/>
        </w:rPr>
      </w:pPr>
      <w:r>
        <w:rPr>
          <w:rFonts w:ascii="宋体" w:hAnsi="宋体" w:cs="仿宋_GB2312"/>
          <w:kern w:val="0"/>
          <w:szCs w:val="28"/>
        </w:rPr>
        <w:t>实行优惠</w:t>
      </w:r>
      <w:r>
        <w:rPr>
          <w:rFonts w:hint="eastAsia" w:ascii="宋体" w:hAnsi="宋体" w:cs="仿宋_GB2312"/>
          <w:kern w:val="0"/>
          <w:szCs w:val="28"/>
        </w:rPr>
        <w:t>财税</w:t>
      </w:r>
      <w:r>
        <w:rPr>
          <w:rFonts w:ascii="宋体" w:hAnsi="宋体" w:cs="仿宋_GB2312"/>
          <w:kern w:val="0"/>
          <w:szCs w:val="28"/>
        </w:rPr>
        <w:t>政策</w:t>
      </w:r>
      <w:r>
        <w:rPr>
          <w:rFonts w:hint="eastAsia" w:ascii="宋体" w:hAnsi="宋体" w:cs="仿宋_GB2312"/>
          <w:kern w:val="0"/>
          <w:szCs w:val="28"/>
        </w:rPr>
        <w:t>，</w:t>
      </w:r>
      <w:r>
        <w:rPr>
          <w:rFonts w:ascii="宋体" w:hAnsi="宋体" w:cs="仿宋_GB2312"/>
          <w:kern w:val="0"/>
          <w:szCs w:val="28"/>
        </w:rPr>
        <w:t>帮助和促进企业加快转型步伐</w:t>
      </w:r>
      <w:r>
        <w:rPr>
          <w:rFonts w:hint="eastAsia" w:ascii="宋体" w:hAnsi="宋体" w:cs="仿宋_GB2312"/>
          <w:kern w:val="0"/>
          <w:szCs w:val="28"/>
        </w:rPr>
        <w:t>。</w:t>
      </w:r>
      <w:r>
        <w:rPr>
          <w:rFonts w:ascii="宋体" w:hAnsi="宋体" w:cs="仿宋_GB2312"/>
          <w:kern w:val="0"/>
          <w:szCs w:val="28"/>
        </w:rPr>
        <w:t>推进万宁市垃圾、污水集中处理和环保设施的市场化运作。组建具有一定规模的环境污染治理</w:t>
      </w:r>
      <w:r>
        <w:rPr>
          <w:rFonts w:hint="eastAsia" w:ascii="宋体" w:hAnsi="宋体" w:cs="仿宋_GB2312"/>
          <w:kern w:val="0"/>
          <w:szCs w:val="28"/>
        </w:rPr>
        <w:t>平台企业</w:t>
      </w:r>
      <w:r>
        <w:rPr>
          <w:rFonts w:ascii="宋体" w:hAnsi="宋体" w:cs="仿宋_GB2312"/>
          <w:kern w:val="0"/>
          <w:szCs w:val="28"/>
        </w:rPr>
        <w:t>，</w:t>
      </w:r>
      <w:r>
        <w:rPr>
          <w:rFonts w:hint="eastAsia" w:ascii="宋体" w:hAnsi="宋体" w:cs="仿宋_GB2312"/>
          <w:kern w:val="0"/>
          <w:szCs w:val="28"/>
        </w:rPr>
        <w:t>统筹万宁市水、土、气、固废等环境治理工作，</w:t>
      </w:r>
      <w:r>
        <w:rPr>
          <w:rFonts w:ascii="宋体" w:hAnsi="宋体" w:cs="仿宋_GB2312"/>
          <w:kern w:val="0"/>
          <w:szCs w:val="28"/>
        </w:rPr>
        <w:t>提供污染治理的社会化、专业化服务。</w:t>
      </w:r>
    </w:p>
    <w:p>
      <w:pPr>
        <w:pStyle w:val="3"/>
      </w:pPr>
      <w:bookmarkStart w:id="103" w:name="_Toc152148752"/>
      <w:r>
        <w:rPr>
          <w:rFonts w:hint="eastAsia"/>
        </w:rPr>
        <w:t>5</w:t>
      </w:r>
      <w:r>
        <w:t xml:space="preserve">.4 </w:t>
      </w:r>
      <w:r>
        <w:rPr>
          <w:rFonts w:hint="eastAsia"/>
        </w:rPr>
        <w:t>强化科技创新</w:t>
      </w:r>
      <w:bookmarkEnd w:id="103"/>
    </w:p>
    <w:p>
      <w:pPr>
        <w:ind w:firstLine="560"/>
      </w:pPr>
      <w:r>
        <w:rPr>
          <w:rFonts w:hint="eastAsia"/>
        </w:rPr>
        <w:t>加大科技支撑力度，优先支持污水集中处理、饮水安全、固体废物资源化利用、园区循环化改造、绿色建筑等关键技术研发、示范与推广。积极推进契合万宁实际的生态文明建设领域高端专家和智力项目，深化与科研院所合作，加快推进高新技术聚集区建设，有效推动科技成果转化。</w:t>
      </w:r>
    </w:p>
    <w:p>
      <w:pPr>
        <w:pStyle w:val="3"/>
      </w:pPr>
      <w:bookmarkStart w:id="104" w:name="_Toc152148753"/>
      <w:r>
        <w:rPr>
          <w:rFonts w:hint="eastAsia"/>
        </w:rPr>
        <w:t>5</w:t>
      </w:r>
      <w:r>
        <w:t xml:space="preserve">.5 </w:t>
      </w:r>
      <w:r>
        <w:rPr>
          <w:rFonts w:hint="eastAsia"/>
        </w:rPr>
        <w:t>社会宣传舆论保障</w:t>
      </w:r>
      <w:bookmarkEnd w:id="104"/>
    </w:p>
    <w:p>
      <w:pPr>
        <w:autoSpaceDE w:val="0"/>
        <w:autoSpaceDN w:val="0"/>
        <w:ind w:firstLine="562"/>
        <w:rPr>
          <w:rFonts w:ascii="宋体" w:hAnsi="宋体" w:cs="楷体_GB2312"/>
          <w:b/>
          <w:kern w:val="0"/>
          <w:szCs w:val="28"/>
        </w:rPr>
      </w:pPr>
      <w:r>
        <w:rPr>
          <w:rFonts w:hint="eastAsia" w:ascii="宋体" w:hAnsi="宋体" w:cs="楷体_GB2312"/>
          <w:b/>
          <w:kern w:val="0"/>
          <w:szCs w:val="28"/>
        </w:rPr>
        <w:t>（一）</w:t>
      </w:r>
      <w:r>
        <w:rPr>
          <w:rFonts w:ascii="宋体" w:hAnsi="宋体" w:cs="楷体_GB2312"/>
          <w:b/>
          <w:kern w:val="0"/>
          <w:szCs w:val="28"/>
        </w:rPr>
        <w:t>促进科学传播</w:t>
      </w:r>
    </w:p>
    <w:p>
      <w:pPr>
        <w:autoSpaceDE w:val="0"/>
        <w:autoSpaceDN w:val="0"/>
        <w:ind w:firstLine="560"/>
        <w:rPr>
          <w:rFonts w:ascii="宋体" w:hAnsi="宋体" w:cs="仿宋_GB2312"/>
          <w:b/>
          <w:kern w:val="0"/>
          <w:szCs w:val="28"/>
        </w:rPr>
      </w:pPr>
      <w:r>
        <w:rPr>
          <w:rFonts w:ascii="宋体" w:hAnsi="宋体" w:cs="仿宋_GB2312"/>
          <w:kern w:val="0"/>
          <w:szCs w:val="28"/>
        </w:rPr>
        <w:t>进行多种形式的生态环境教育和科普宣传教育，建立环境教育基地，编制生态文明教育宣传材料，开展“绿色学校”“绿色社区”“绿色</w:t>
      </w:r>
      <w:r>
        <w:rPr>
          <w:rFonts w:hint="eastAsia" w:ascii="宋体" w:hAnsi="宋体" w:cs="仿宋_GB2312"/>
          <w:kern w:val="0"/>
          <w:szCs w:val="28"/>
        </w:rPr>
        <w:t>企业</w:t>
      </w:r>
      <w:r>
        <w:rPr>
          <w:rFonts w:ascii="宋体" w:hAnsi="宋体" w:cs="仿宋_GB2312"/>
          <w:kern w:val="0"/>
          <w:szCs w:val="28"/>
        </w:rPr>
        <w:t>”等公益活动，加强对各级领导干部和企业经营者的相关知识培训，大力推进对广大村民的环境教育，开展“环境宣传教育下乡”活动，使生态文明建设家喻户晓，深入人心。加强</w:t>
      </w:r>
      <w:r>
        <w:rPr>
          <w:rFonts w:hint="eastAsia" w:ascii="宋体" w:hAnsi="宋体" w:cs="仿宋_GB2312"/>
          <w:kern w:val="0"/>
          <w:szCs w:val="28"/>
        </w:rPr>
        <w:t>绿色</w:t>
      </w:r>
      <w:r>
        <w:rPr>
          <w:rFonts w:ascii="宋体" w:hAnsi="宋体" w:cs="仿宋_GB2312"/>
          <w:kern w:val="0"/>
          <w:szCs w:val="28"/>
        </w:rPr>
        <w:t>消费引导，在全社会促进生产方式、生活方式和消费观念的转变。</w:t>
      </w:r>
    </w:p>
    <w:p>
      <w:pPr>
        <w:autoSpaceDE w:val="0"/>
        <w:autoSpaceDN w:val="0"/>
        <w:ind w:firstLine="562"/>
        <w:rPr>
          <w:rFonts w:ascii="宋体" w:hAnsi="宋体" w:cs="楷体_GB2312"/>
          <w:b/>
          <w:kern w:val="0"/>
          <w:szCs w:val="28"/>
        </w:rPr>
      </w:pPr>
      <w:r>
        <w:rPr>
          <w:rFonts w:hint="eastAsia" w:ascii="宋体" w:hAnsi="宋体" w:cs="楷体_GB2312"/>
          <w:b/>
          <w:kern w:val="0"/>
          <w:szCs w:val="28"/>
        </w:rPr>
        <w:t>（二）</w:t>
      </w:r>
      <w:r>
        <w:rPr>
          <w:rFonts w:ascii="宋体" w:hAnsi="宋体" w:cs="楷体_GB2312"/>
          <w:b/>
          <w:kern w:val="0"/>
          <w:szCs w:val="28"/>
        </w:rPr>
        <w:t>号召全民参与</w:t>
      </w:r>
    </w:p>
    <w:p>
      <w:pPr>
        <w:autoSpaceDE w:val="0"/>
        <w:autoSpaceDN w:val="0"/>
        <w:ind w:firstLine="560"/>
        <w:jc w:val="left"/>
        <w:rPr>
          <w:rFonts w:ascii="宋体" w:hAnsi="宋体" w:cs="仿宋_GB2312"/>
          <w:kern w:val="0"/>
          <w:szCs w:val="28"/>
        </w:rPr>
      </w:pPr>
      <w:r>
        <w:rPr>
          <w:rFonts w:ascii="宋体" w:hAnsi="宋体" w:cs="仿宋_GB2312"/>
          <w:kern w:val="0"/>
          <w:szCs w:val="28"/>
        </w:rPr>
        <w:t>加强规划实施宣传，充分利用广播、电视、报刊、网络和新媒体等，拓宽思想，创新载体，多渠道、多层次、多形式地开展生态文明建设的舆论宣传，使公众深入了解规划确定的方针政策和发展蓝图，在万宁市形成了解规划、关心规划、自觉参与规划实施的氛围，从而把开展生态文明建设切实转化为各级各部门和全社会的自觉行动，实现生态文明建设的良性互动和永续</w:t>
      </w:r>
      <w:r>
        <w:rPr>
          <w:rFonts w:hint="eastAsia" w:ascii="宋体" w:hAnsi="宋体" w:cs="仿宋_GB2312"/>
          <w:kern w:val="0"/>
          <w:szCs w:val="28"/>
        </w:rPr>
        <w:t>发展。</w:t>
      </w:r>
    </w:p>
    <w:p>
      <w:pPr>
        <w:widowControl/>
        <w:adjustRightInd/>
        <w:snapToGrid/>
        <w:spacing w:line="240" w:lineRule="auto"/>
        <w:ind w:firstLine="0" w:firstLineChars="0"/>
        <w:jc w:val="left"/>
      </w:pPr>
    </w:p>
    <w:sectPr>
      <w:footerReference r:id="rId13" w:type="default"/>
      <w:pgSz w:w="11906" w:h="16838"/>
      <w:pgMar w:top="1701" w:right="1440" w:bottom="1701"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Times">
    <w:altName w:val="Nimbus Roman No9 L"/>
    <w:panose1 w:val="02020603050405020304"/>
    <w:charset w:val="00"/>
    <w:family w:val="roman"/>
    <w:pitch w:val="default"/>
    <w:sig w:usb0="00000000" w:usb1="00000000" w:usb2="00000009" w:usb3="00000000" w:csb0="000001F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3869605"/>
      <w:docPartObj>
        <w:docPartGallery w:val="autotext"/>
      </w:docPartObj>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pPr>
      <w:pStyle w:val="15"/>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96850"/>
              <wp:effectExtent l="0" t="0" r="18415" b="12700"/>
              <wp:wrapNone/>
              <wp:docPr id="181125643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wps:spPr>
                    <wps:txbx>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90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5.5pt;width:27.05pt;mso-position-horizontal:center;mso-position-horizontal-relative:margin;mso-wrap-style:none;z-index:251659264;mso-width-relative:page;mso-height-relative:page;" filled="f" stroked="f" coordsize="21600,21600" o:gfxdata="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">
              <v:fill on="f" focussize="0,0"/>
              <v:stroke on="f"/>
              <v:imagedata o:title=""/>
              <o:lock v:ext="edit" aspectratio="f"/>
              <v:textbox inset="0mm,0mm,0mm,0mm" style="mso-fit-shape-to-text:t;">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90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20"/>
      <w:rPr>
        <w:sz w:val="21"/>
        <w:szCs w:val="21"/>
      </w:rPr>
    </w:pPr>
    <w:r>
      <w:rPr>
        <w:rFonts w:hint="eastAsia"/>
        <w:sz w:val="21"/>
        <w:szCs w:val="21"/>
      </w:rPr>
      <w:t>万宁市生态文明建设示范区规划（2023-2030年）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905D7"/>
    <w:multiLevelType w:val="multilevel"/>
    <w:tmpl w:val="121905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730D62"/>
    <w:multiLevelType w:val="multilevel"/>
    <w:tmpl w:val="20730D62"/>
    <w:lvl w:ilvl="0" w:tentative="0">
      <w:start w:val="1"/>
      <w:numFmt w:val="decimalEnclosedCircle"/>
      <w:lvlText w:val="%1"/>
      <w:lvlJc w:val="left"/>
      <w:pPr>
        <w:ind w:left="1840" w:hanging="360"/>
      </w:pPr>
      <w:rPr>
        <w:rFonts w:hint="default" w:ascii="宋体" w:hAnsi="宋体" w:cs="宋体"/>
      </w:rPr>
    </w:lvl>
    <w:lvl w:ilvl="1" w:tentative="0">
      <w:start w:val="1"/>
      <w:numFmt w:val="japaneseCounting"/>
      <w:lvlText w:val="%2、"/>
      <w:lvlJc w:val="left"/>
      <w:pPr>
        <w:ind w:left="2181" w:hanging="480"/>
      </w:pPr>
      <w:rPr>
        <w:rFonts w:hint="default"/>
      </w:rPr>
    </w:lvl>
    <w:lvl w:ilvl="2" w:tentative="0">
      <w:start w:val="2"/>
      <w:numFmt w:val="decimal"/>
      <w:lvlText w:val="%3、"/>
      <w:lvlJc w:val="left"/>
      <w:pPr>
        <w:ind w:left="2720" w:hanging="360"/>
      </w:pPr>
      <w:rPr>
        <w:rFonts w:hint="default"/>
      </w:rPr>
    </w:lvl>
    <w:lvl w:ilvl="3" w:tentative="0">
      <w:start w:val="1"/>
      <w:numFmt w:val="decimal"/>
      <w:lvlText w:val="%4."/>
      <w:lvlJc w:val="left"/>
      <w:pPr>
        <w:ind w:left="3240" w:hanging="440"/>
      </w:pPr>
    </w:lvl>
    <w:lvl w:ilvl="4" w:tentative="0">
      <w:start w:val="1"/>
      <w:numFmt w:val="lowerLetter"/>
      <w:lvlText w:val="%5)"/>
      <w:lvlJc w:val="left"/>
      <w:pPr>
        <w:ind w:left="3680" w:hanging="440"/>
      </w:pPr>
    </w:lvl>
    <w:lvl w:ilvl="5" w:tentative="0">
      <w:start w:val="1"/>
      <w:numFmt w:val="lowerRoman"/>
      <w:lvlText w:val="%6."/>
      <w:lvlJc w:val="right"/>
      <w:pPr>
        <w:ind w:left="4120" w:hanging="440"/>
      </w:pPr>
    </w:lvl>
    <w:lvl w:ilvl="6" w:tentative="0">
      <w:start w:val="1"/>
      <w:numFmt w:val="decimal"/>
      <w:lvlText w:val="%7."/>
      <w:lvlJc w:val="left"/>
      <w:pPr>
        <w:ind w:left="4560" w:hanging="440"/>
      </w:pPr>
    </w:lvl>
    <w:lvl w:ilvl="7" w:tentative="0">
      <w:start w:val="1"/>
      <w:numFmt w:val="lowerLetter"/>
      <w:lvlText w:val="%8)"/>
      <w:lvlJc w:val="left"/>
      <w:pPr>
        <w:ind w:left="5000" w:hanging="440"/>
      </w:pPr>
    </w:lvl>
    <w:lvl w:ilvl="8" w:tentative="0">
      <w:start w:val="1"/>
      <w:numFmt w:val="lowerRoman"/>
      <w:lvlText w:val="%9."/>
      <w:lvlJc w:val="right"/>
      <w:pPr>
        <w:ind w:left="544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D8"/>
    <w:rsid w:val="0000132C"/>
    <w:rsid w:val="00002B7F"/>
    <w:rsid w:val="000033F7"/>
    <w:rsid w:val="00005355"/>
    <w:rsid w:val="00005573"/>
    <w:rsid w:val="00005EC4"/>
    <w:rsid w:val="00006D54"/>
    <w:rsid w:val="0000727A"/>
    <w:rsid w:val="00011726"/>
    <w:rsid w:val="00011FAE"/>
    <w:rsid w:val="00013A38"/>
    <w:rsid w:val="00013C5D"/>
    <w:rsid w:val="00017D2E"/>
    <w:rsid w:val="00020DF2"/>
    <w:rsid w:val="00021E1F"/>
    <w:rsid w:val="0003025B"/>
    <w:rsid w:val="00030DC3"/>
    <w:rsid w:val="00031E34"/>
    <w:rsid w:val="000320F8"/>
    <w:rsid w:val="00032D80"/>
    <w:rsid w:val="00035DEB"/>
    <w:rsid w:val="000379CF"/>
    <w:rsid w:val="00040325"/>
    <w:rsid w:val="000431CA"/>
    <w:rsid w:val="00044E3F"/>
    <w:rsid w:val="00046D39"/>
    <w:rsid w:val="0004741B"/>
    <w:rsid w:val="0005292D"/>
    <w:rsid w:val="00052EC2"/>
    <w:rsid w:val="00056823"/>
    <w:rsid w:val="00062685"/>
    <w:rsid w:val="0006271E"/>
    <w:rsid w:val="00062FEE"/>
    <w:rsid w:val="00064512"/>
    <w:rsid w:val="00064990"/>
    <w:rsid w:val="00064AD6"/>
    <w:rsid w:val="00066340"/>
    <w:rsid w:val="00072646"/>
    <w:rsid w:val="00075554"/>
    <w:rsid w:val="000756A7"/>
    <w:rsid w:val="00077D49"/>
    <w:rsid w:val="00077F2D"/>
    <w:rsid w:val="00084BD1"/>
    <w:rsid w:val="00085B16"/>
    <w:rsid w:val="000862A0"/>
    <w:rsid w:val="000878B9"/>
    <w:rsid w:val="000945B8"/>
    <w:rsid w:val="000A1E64"/>
    <w:rsid w:val="000A243D"/>
    <w:rsid w:val="000A48FA"/>
    <w:rsid w:val="000A53C3"/>
    <w:rsid w:val="000A7412"/>
    <w:rsid w:val="000B0DA3"/>
    <w:rsid w:val="000B106C"/>
    <w:rsid w:val="000B35AF"/>
    <w:rsid w:val="000B546B"/>
    <w:rsid w:val="000C052F"/>
    <w:rsid w:val="000C0B7D"/>
    <w:rsid w:val="000C2206"/>
    <w:rsid w:val="000C23BE"/>
    <w:rsid w:val="000C4003"/>
    <w:rsid w:val="000C444D"/>
    <w:rsid w:val="000C4668"/>
    <w:rsid w:val="000C4E5E"/>
    <w:rsid w:val="000C6604"/>
    <w:rsid w:val="000D072B"/>
    <w:rsid w:val="000D2689"/>
    <w:rsid w:val="000D55A4"/>
    <w:rsid w:val="000E0026"/>
    <w:rsid w:val="000E0B68"/>
    <w:rsid w:val="000E1F83"/>
    <w:rsid w:val="000E2C48"/>
    <w:rsid w:val="000E4601"/>
    <w:rsid w:val="000E622C"/>
    <w:rsid w:val="000F155D"/>
    <w:rsid w:val="000F1597"/>
    <w:rsid w:val="000F2B6C"/>
    <w:rsid w:val="000F34AC"/>
    <w:rsid w:val="000F3BAC"/>
    <w:rsid w:val="000F420A"/>
    <w:rsid w:val="000F59DE"/>
    <w:rsid w:val="000F7674"/>
    <w:rsid w:val="00100BD0"/>
    <w:rsid w:val="001018F2"/>
    <w:rsid w:val="00102BE4"/>
    <w:rsid w:val="001038C4"/>
    <w:rsid w:val="00103B6E"/>
    <w:rsid w:val="001040D0"/>
    <w:rsid w:val="00106966"/>
    <w:rsid w:val="001104B5"/>
    <w:rsid w:val="00110797"/>
    <w:rsid w:val="00110BA1"/>
    <w:rsid w:val="0011448C"/>
    <w:rsid w:val="00122979"/>
    <w:rsid w:val="00123A5D"/>
    <w:rsid w:val="001241A0"/>
    <w:rsid w:val="00124D70"/>
    <w:rsid w:val="00126902"/>
    <w:rsid w:val="001277F8"/>
    <w:rsid w:val="00132212"/>
    <w:rsid w:val="00132F8C"/>
    <w:rsid w:val="00133323"/>
    <w:rsid w:val="00133789"/>
    <w:rsid w:val="00133838"/>
    <w:rsid w:val="00140EB5"/>
    <w:rsid w:val="00142165"/>
    <w:rsid w:val="00142273"/>
    <w:rsid w:val="0014231D"/>
    <w:rsid w:val="00144E1D"/>
    <w:rsid w:val="00155C67"/>
    <w:rsid w:val="0015659C"/>
    <w:rsid w:val="00161DCB"/>
    <w:rsid w:val="00161F5C"/>
    <w:rsid w:val="001620B2"/>
    <w:rsid w:val="001673A7"/>
    <w:rsid w:val="0017217B"/>
    <w:rsid w:val="00172900"/>
    <w:rsid w:val="00172A6D"/>
    <w:rsid w:val="001736E3"/>
    <w:rsid w:val="00173A8A"/>
    <w:rsid w:val="00174EFE"/>
    <w:rsid w:val="00177164"/>
    <w:rsid w:val="00180BE0"/>
    <w:rsid w:val="00180F93"/>
    <w:rsid w:val="00181A01"/>
    <w:rsid w:val="00182356"/>
    <w:rsid w:val="00183A98"/>
    <w:rsid w:val="001845BC"/>
    <w:rsid w:val="0018596A"/>
    <w:rsid w:val="00187866"/>
    <w:rsid w:val="001916AF"/>
    <w:rsid w:val="00194597"/>
    <w:rsid w:val="00194D5C"/>
    <w:rsid w:val="001A2F6B"/>
    <w:rsid w:val="001A3971"/>
    <w:rsid w:val="001B64F2"/>
    <w:rsid w:val="001B6C89"/>
    <w:rsid w:val="001B7CDB"/>
    <w:rsid w:val="001C0819"/>
    <w:rsid w:val="001C0922"/>
    <w:rsid w:val="001C6357"/>
    <w:rsid w:val="001D0A38"/>
    <w:rsid w:val="001D369C"/>
    <w:rsid w:val="001D42E3"/>
    <w:rsid w:val="001D4B00"/>
    <w:rsid w:val="001E1384"/>
    <w:rsid w:val="001E1897"/>
    <w:rsid w:val="001E1EC0"/>
    <w:rsid w:val="001E3C7B"/>
    <w:rsid w:val="001E506F"/>
    <w:rsid w:val="001E539A"/>
    <w:rsid w:val="001E588B"/>
    <w:rsid w:val="001E76BD"/>
    <w:rsid w:val="001F3802"/>
    <w:rsid w:val="001F3C46"/>
    <w:rsid w:val="002017F5"/>
    <w:rsid w:val="002023D2"/>
    <w:rsid w:val="00203146"/>
    <w:rsid w:val="00205874"/>
    <w:rsid w:val="00212F65"/>
    <w:rsid w:val="00213E63"/>
    <w:rsid w:val="00215576"/>
    <w:rsid w:val="00216181"/>
    <w:rsid w:val="00224FBB"/>
    <w:rsid w:val="00226731"/>
    <w:rsid w:val="00227158"/>
    <w:rsid w:val="0023045D"/>
    <w:rsid w:val="00230E26"/>
    <w:rsid w:val="002323AD"/>
    <w:rsid w:val="00232FD5"/>
    <w:rsid w:val="002333EF"/>
    <w:rsid w:val="00234FEB"/>
    <w:rsid w:val="00235DBD"/>
    <w:rsid w:val="002379BD"/>
    <w:rsid w:val="002402A8"/>
    <w:rsid w:val="002430A3"/>
    <w:rsid w:val="002479D9"/>
    <w:rsid w:val="00251814"/>
    <w:rsid w:val="00260DA8"/>
    <w:rsid w:val="0026335B"/>
    <w:rsid w:val="00264A1C"/>
    <w:rsid w:val="002653CF"/>
    <w:rsid w:val="00265A5D"/>
    <w:rsid w:val="00266667"/>
    <w:rsid w:val="00266A97"/>
    <w:rsid w:val="00267106"/>
    <w:rsid w:val="0027022D"/>
    <w:rsid w:val="00270AD1"/>
    <w:rsid w:val="002733DD"/>
    <w:rsid w:val="00274873"/>
    <w:rsid w:val="00275CCD"/>
    <w:rsid w:val="00277F31"/>
    <w:rsid w:val="00280740"/>
    <w:rsid w:val="00280E8D"/>
    <w:rsid w:val="00283008"/>
    <w:rsid w:val="00283E26"/>
    <w:rsid w:val="00284C74"/>
    <w:rsid w:val="002850E4"/>
    <w:rsid w:val="002854FD"/>
    <w:rsid w:val="0028586B"/>
    <w:rsid w:val="002905E4"/>
    <w:rsid w:val="002909B0"/>
    <w:rsid w:val="002954C7"/>
    <w:rsid w:val="002A0726"/>
    <w:rsid w:val="002A18B9"/>
    <w:rsid w:val="002A33A5"/>
    <w:rsid w:val="002A675D"/>
    <w:rsid w:val="002A6CD5"/>
    <w:rsid w:val="002A7658"/>
    <w:rsid w:val="002B0426"/>
    <w:rsid w:val="002B1A02"/>
    <w:rsid w:val="002B381C"/>
    <w:rsid w:val="002B57AC"/>
    <w:rsid w:val="002B63A7"/>
    <w:rsid w:val="002C3C42"/>
    <w:rsid w:val="002C4077"/>
    <w:rsid w:val="002C715D"/>
    <w:rsid w:val="002D288B"/>
    <w:rsid w:val="002D35F9"/>
    <w:rsid w:val="002D4B46"/>
    <w:rsid w:val="002D55AF"/>
    <w:rsid w:val="002E31C5"/>
    <w:rsid w:val="002E4581"/>
    <w:rsid w:val="002E5FA7"/>
    <w:rsid w:val="002E6823"/>
    <w:rsid w:val="002F00E9"/>
    <w:rsid w:val="002F3B42"/>
    <w:rsid w:val="002F587B"/>
    <w:rsid w:val="002F5A20"/>
    <w:rsid w:val="002F634E"/>
    <w:rsid w:val="002F643F"/>
    <w:rsid w:val="00302F72"/>
    <w:rsid w:val="00305F62"/>
    <w:rsid w:val="00306E82"/>
    <w:rsid w:val="00310EC7"/>
    <w:rsid w:val="00325DAC"/>
    <w:rsid w:val="00326740"/>
    <w:rsid w:val="00327003"/>
    <w:rsid w:val="00327D94"/>
    <w:rsid w:val="00331785"/>
    <w:rsid w:val="00331EE2"/>
    <w:rsid w:val="00332B89"/>
    <w:rsid w:val="00332E94"/>
    <w:rsid w:val="00333747"/>
    <w:rsid w:val="003340A2"/>
    <w:rsid w:val="003346E4"/>
    <w:rsid w:val="0033554C"/>
    <w:rsid w:val="003357B1"/>
    <w:rsid w:val="003360AF"/>
    <w:rsid w:val="00341B83"/>
    <w:rsid w:val="003459CD"/>
    <w:rsid w:val="003473D6"/>
    <w:rsid w:val="003526B8"/>
    <w:rsid w:val="003625CA"/>
    <w:rsid w:val="00362630"/>
    <w:rsid w:val="003632A3"/>
    <w:rsid w:val="00364CA0"/>
    <w:rsid w:val="0037033E"/>
    <w:rsid w:val="00371FAD"/>
    <w:rsid w:val="00375BE8"/>
    <w:rsid w:val="003767CF"/>
    <w:rsid w:val="00377718"/>
    <w:rsid w:val="00377DE3"/>
    <w:rsid w:val="00380859"/>
    <w:rsid w:val="00380C50"/>
    <w:rsid w:val="00381FE5"/>
    <w:rsid w:val="00382C62"/>
    <w:rsid w:val="0038328E"/>
    <w:rsid w:val="0038528A"/>
    <w:rsid w:val="00385ABF"/>
    <w:rsid w:val="00387418"/>
    <w:rsid w:val="003876F3"/>
    <w:rsid w:val="00393A10"/>
    <w:rsid w:val="003A2254"/>
    <w:rsid w:val="003A2EED"/>
    <w:rsid w:val="003A42C0"/>
    <w:rsid w:val="003A4753"/>
    <w:rsid w:val="003A56FC"/>
    <w:rsid w:val="003B0C07"/>
    <w:rsid w:val="003B10F3"/>
    <w:rsid w:val="003B1D95"/>
    <w:rsid w:val="003B77B6"/>
    <w:rsid w:val="003C040B"/>
    <w:rsid w:val="003C163E"/>
    <w:rsid w:val="003C3047"/>
    <w:rsid w:val="003C335B"/>
    <w:rsid w:val="003C4D86"/>
    <w:rsid w:val="003C68AF"/>
    <w:rsid w:val="003D0603"/>
    <w:rsid w:val="003D2499"/>
    <w:rsid w:val="003D29A2"/>
    <w:rsid w:val="003D43F1"/>
    <w:rsid w:val="003D736D"/>
    <w:rsid w:val="003F15FB"/>
    <w:rsid w:val="003F33FB"/>
    <w:rsid w:val="003F5E87"/>
    <w:rsid w:val="003F65E2"/>
    <w:rsid w:val="003F6B77"/>
    <w:rsid w:val="00401CA0"/>
    <w:rsid w:val="00402608"/>
    <w:rsid w:val="00402868"/>
    <w:rsid w:val="00404850"/>
    <w:rsid w:val="00406E14"/>
    <w:rsid w:val="00406E23"/>
    <w:rsid w:val="00407279"/>
    <w:rsid w:val="004076A8"/>
    <w:rsid w:val="00413EBF"/>
    <w:rsid w:val="004159BA"/>
    <w:rsid w:val="004166DF"/>
    <w:rsid w:val="00416964"/>
    <w:rsid w:val="0042003F"/>
    <w:rsid w:val="00420BC6"/>
    <w:rsid w:val="00423AB6"/>
    <w:rsid w:val="00424E0C"/>
    <w:rsid w:val="00427D59"/>
    <w:rsid w:val="00427E4A"/>
    <w:rsid w:val="00434739"/>
    <w:rsid w:val="00434FE1"/>
    <w:rsid w:val="00435621"/>
    <w:rsid w:val="0043770C"/>
    <w:rsid w:val="004417A3"/>
    <w:rsid w:val="00446F06"/>
    <w:rsid w:val="00452473"/>
    <w:rsid w:val="00452596"/>
    <w:rsid w:val="00454B36"/>
    <w:rsid w:val="00454E05"/>
    <w:rsid w:val="00455CCD"/>
    <w:rsid w:val="00457691"/>
    <w:rsid w:val="004602BB"/>
    <w:rsid w:val="00460EB3"/>
    <w:rsid w:val="00462768"/>
    <w:rsid w:val="004629F4"/>
    <w:rsid w:val="00463756"/>
    <w:rsid w:val="00470126"/>
    <w:rsid w:val="004702C6"/>
    <w:rsid w:val="004702CE"/>
    <w:rsid w:val="00470D29"/>
    <w:rsid w:val="00471BD2"/>
    <w:rsid w:val="00472447"/>
    <w:rsid w:val="0047247C"/>
    <w:rsid w:val="0047293C"/>
    <w:rsid w:val="00474C3F"/>
    <w:rsid w:val="00475382"/>
    <w:rsid w:val="004808A7"/>
    <w:rsid w:val="00482004"/>
    <w:rsid w:val="00483A25"/>
    <w:rsid w:val="00485E46"/>
    <w:rsid w:val="00486100"/>
    <w:rsid w:val="00486303"/>
    <w:rsid w:val="00486688"/>
    <w:rsid w:val="00486FFA"/>
    <w:rsid w:val="00491464"/>
    <w:rsid w:val="00496A25"/>
    <w:rsid w:val="00497170"/>
    <w:rsid w:val="00497AF2"/>
    <w:rsid w:val="004A4086"/>
    <w:rsid w:val="004A627E"/>
    <w:rsid w:val="004A6F72"/>
    <w:rsid w:val="004C0F93"/>
    <w:rsid w:val="004C1675"/>
    <w:rsid w:val="004C42D2"/>
    <w:rsid w:val="004C6CDD"/>
    <w:rsid w:val="004D0212"/>
    <w:rsid w:val="004D26BD"/>
    <w:rsid w:val="004D412A"/>
    <w:rsid w:val="004D4A83"/>
    <w:rsid w:val="004D4DFC"/>
    <w:rsid w:val="004D6571"/>
    <w:rsid w:val="004E1D19"/>
    <w:rsid w:val="004E2F73"/>
    <w:rsid w:val="004E3838"/>
    <w:rsid w:val="004E65CD"/>
    <w:rsid w:val="004E7E13"/>
    <w:rsid w:val="004F0F2A"/>
    <w:rsid w:val="004F3967"/>
    <w:rsid w:val="004F42E6"/>
    <w:rsid w:val="004F4B3F"/>
    <w:rsid w:val="004F67A3"/>
    <w:rsid w:val="0050036E"/>
    <w:rsid w:val="0050256D"/>
    <w:rsid w:val="00503372"/>
    <w:rsid w:val="00504D18"/>
    <w:rsid w:val="00506ABA"/>
    <w:rsid w:val="00512F5B"/>
    <w:rsid w:val="00515652"/>
    <w:rsid w:val="0051653B"/>
    <w:rsid w:val="0051733E"/>
    <w:rsid w:val="00521A6F"/>
    <w:rsid w:val="0052412A"/>
    <w:rsid w:val="00524C44"/>
    <w:rsid w:val="00526CC0"/>
    <w:rsid w:val="00530D9C"/>
    <w:rsid w:val="00531FD1"/>
    <w:rsid w:val="005327A8"/>
    <w:rsid w:val="00533007"/>
    <w:rsid w:val="005332CD"/>
    <w:rsid w:val="00534B67"/>
    <w:rsid w:val="00537DED"/>
    <w:rsid w:val="00540362"/>
    <w:rsid w:val="00540581"/>
    <w:rsid w:val="00540954"/>
    <w:rsid w:val="00540ABF"/>
    <w:rsid w:val="005419B2"/>
    <w:rsid w:val="005437A6"/>
    <w:rsid w:val="00543816"/>
    <w:rsid w:val="00543BA7"/>
    <w:rsid w:val="00544031"/>
    <w:rsid w:val="005441CE"/>
    <w:rsid w:val="005519EE"/>
    <w:rsid w:val="00551ED9"/>
    <w:rsid w:val="00552B34"/>
    <w:rsid w:val="00553D88"/>
    <w:rsid w:val="00554B65"/>
    <w:rsid w:val="00556771"/>
    <w:rsid w:val="00556E19"/>
    <w:rsid w:val="00556FF2"/>
    <w:rsid w:val="0056138D"/>
    <w:rsid w:val="0056269C"/>
    <w:rsid w:val="005633A0"/>
    <w:rsid w:val="0057080A"/>
    <w:rsid w:val="00570E09"/>
    <w:rsid w:val="00571657"/>
    <w:rsid w:val="00572071"/>
    <w:rsid w:val="00575790"/>
    <w:rsid w:val="00580A50"/>
    <w:rsid w:val="00582218"/>
    <w:rsid w:val="0058368D"/>
    <w:rsid w:val="0059099D"/>
    <w:rsid w:val="00590E41"/>
    <w:rsid w:val="00592584"/>
    <w:rsid w:val="0059573B"/>
    <w:rsid w:val="005A1E88"/>
    <w:rsid w:val="005A2F75"/>
    <w:rsid w:val="005A3131"/>
    <w:rsid w:val="005A3346"/>
    <w:rsid w:val="005A5242"/>
    <w:rsid w:val="005B7EC4"/>
    <w:rsid w:val="005C1030"/>
    <w:rsid w:val="005C1A72"/>
    <w:rsid w:val="005C1B0A"/>
    <w:rsid w:val="005C3333"/>
    <w:rsid w:val="005D17EF"/>
    <w:rsid w:val="005D5079"/>
    <w:rsid w:val="005D7EB9"/>
    <w:rsid w:val="005D7ECE"/>
    <w:rsid w:val="005E308A"/>
    <w:rsid w:val="005E643A"/>
    <w:rsid w:val="005E6805"/>
    <w:rsid w:val="005F12E1"/>
    <w:rsid w:val="005F1A88"/>
    <w:rsid w:val="005F628D"/>
    <w:rsid w:val="005F717C"/>
    <w:rsid w:val="0060201C"/>
    <w:rsid w:val="0060281A"/>
    <w:rsid w:val="00607564"/>
    <w:rsid w:val="006101E4"/>
    <w:rsid w:val="00611486"/>
    <w:rsid w:val="006140AC"/>
    <w:rsid w:val="00616E03"/>
    <w:rsid w:val="00617882"/>
    <w:rsid w:val="006179E7"/>
    <w:rsid w:val="00621A16"/>
    <w:rsid w:val="00621A6A"/>
    <w:rsid w:val="006225BD"/>
    <w:rsid w:val="00622AB0"/>
    <w:rsid w:val="00626337"/>
    <w:rsid w:val="00626A15"/>
    <w:rsid w:val="00626B61"/>
    <w:rsid w:val="00627480"/>
    <w:rsid w:val="00627C89"/>
    <w:rsid w:val="006324BD"/>
    <w:rsid w:val="00634749"/>
    <w:rsid w:val="00635094"/>
    <w:rsid w:val="0063608D"/>
    <w:rsid w:val="00636915"/>
    <w:rsid w:val="00637B84"/>
    <w:rsid w:val="006414C5"/>
    <w:rsid w:val="00642581"/>
    <w:rsid w:val="006443E8"/>
    <w:rsid w:val="00647984"/>
    <w:rsid w:val="00650C53"/>
    <w:rsid w:val="00652891"/>
    <w:rsid w:val="0065303F"/>
    <w:rsid w:val="0065595F"/>
    <w:rsid w:val="00655B9E"/>
    <w:rsid w:val="006618D9"/>
    <w:rsid w:val="00662863"/>
    <w:rsid w:val="00662E77"/>
    <w:rsid w:val="006659DB"/>
    <w:rsid w:val="00667030"/>
    <w:rsid w:val="00667F8A"/>
    <w:rsid w:val="00673B19"/>
    <w:rsid w:val="00674EB7"/>
    <w:rsid w:val="0067561A"/>
    <w:rsid w:val="00676127"/>
    <w:rsid w:val="00676629"/>
    <w:rsid w:val="00677586"/>
    <w:rsid w:val="00680520"/>
    <w:rsid w:val="00681BB4"/>
    <w:rsid w:val="006827FB"/>
    <w:rsid w:val="00686FFE"/>
    <w:rsid w:val="00691B1D"/>
    <w:rsid w:val="0069337E"/>
    <w:rsid w:val="006A0781"/>
    <w:rsid w:val="006A15D6"/>
    <w:rsid w:val="006A207E"/>
    <w:rsid w:val="006A327E"/>
    <w:rsid w:val="006A50A8"/>
    <w:rsid w:val="006A5DF6"/>
    <w:rsid w:val="006A7026"/>
    <w:rsid w:val="006B005E"/>
    <w:rsid w:val="006B4A13"/>
    <w:rsid w:val="006B7946"/>
    <w:rsid w:val="006C0DE2"/>
    <w:rsid w:val="006C1291"/>
    <w:rsid w:val="006D02AA"/>
    <w:rsid w:val="006D2A69"/>
    <w:rsid w:val="006D4DBB"/>
    <w:rsid w:val="006E0E51"/>
    <w:rsid w:val="006E34E7"/>
    <w:rsid w:val="006E5D9F"/>
    <w:rsid w:val="006E6796"/>
    <w:rsid w:val="006F4946"/>
    <w:rsid w:val="006F5749"/>
    <w:rsid w:val="006F68F9"/>
    <w:rsid w:val="006F7CFE"/>
    <w:rsid w:val="00701CDF"/>
    <w:rsid w:val="00701FA5"/>
    <w:rsid w:val="0070327B"/>
    <w:rsid w:val="0070604A"/>
    <w:rsid w:val="00706DDD"/>
    <w:rsid w:val="0071286D"/>
    <w:rsid w:val="007174BB"/>
    <w:rsid w:val="007203A0"/>
    <w:rsid w:val="007204BF"/>
    <w:rsid w:val="00720BA7"/>
    <w:rsid w:val="00721F92"/>
    <w:rsid w:val="00722F48"/>
    <w:rsid w:val="00730769"/>
    <w:rsid w:val="007316CC"/>
    <w:rsid w:val="00732E03"/>
    <w:rsid w:val="00734656"/>
    <w:rsid w:val="00735CCD"/>
    <w:rsid w:val="0074427D"/>
    <w:rsid w:val="007459BE"/>
    <w:rsid w:val="00747BE4"/>
    <w:rsid w:val="00752C1B"/>
    <w:rsid w:val="007534B0"/>
    <w:rsid w:val="007545E8"/>
    <w:rsid w:val="00755F03"/>
    <w:rsid w:val="00756AC4"/>
    <w:rsid w:val="0076474A"/>
    <w:rsid w:val="00767916"/>
    <w:rsid w:val="00770A36"/>
    <w:rsid w:val="00787697"/>
    <w:rsid w:val="00794ED4"/>
    <w:rsid w:val="007962C3"/>
    <w:rsid w:val="0079773F"/>
    <w:rsid w:val="007A0F31"/>
    <w:rsid w:val="007A0F9E"/>
    <w:rsid w:val="007A1132"/>
    <w:rsid w:val="007A1F7F"/>
    <w:rsid w:val="007A2B5D"/>
    <w:rsid w:val="007A5BCD"/>
    <w:rsid w:val="007A7AF1"/>
    <w:rsid w:val="007A7EF2"/>
    <w:rsid w:val="007B3E87"/>
    <w:rsid w:val="007B608F"/>
    <w:rsid w:val="007B7FC4"/>
    <w:rsid w:val="007C1AAA"/>
    <w:rsid w:val="007C2A6A"/>
    <w:rsid w:val="007C2D79"/>
    <w:rsid w:val="007C4C9E"/>
    <w:rsid w:val="007C5E35"/>
    <w:rsid w:val="007C7A5F"/>
    <w:rsid w:val="007D7FC6"/>
    <w:rsid w:val="007E0E1F"/>
    <w:rsid w:val="007E39C7"/>
    <w:rsid w:val="007F0EA3"/>
    <w:rsid w:val="007F19B5"/>
    <w:rsid w:val="007F61C0"/>
    <w:rsid w:val="007F7448"/>
    <w:rsid w:val="0080335D"/>
    <w:rsid w:val="008052BA"/>
    <w:rsid w:val="00807835"/>
    <w:rsid w:val="00807AF2"/>
    <w:rsid w:val="0081520C"/>
    <w:rsid w:val="008206D1"/>
    <w:rsid w:val="00820AD4"/>
    <w:rsid w:val="008217C2"/>
    <w:rsid w:val="00821BC6"/>
    <w:rsid w:val="00822564"/>
    <w:rsid w:val="0082376C"/>
    <w:rsid w:val="00824294"/>
    <w:rsid w:val="00824598"/>
    <w:rsid w:val="008351D2"/>
    <w:rsid w:val="00835939"/>
    <w:rsid w:val="00841A00"/>
    <w:rsid w:val="00842BA2"/>
    <w:rsid w:val="00844821"/>
    <w:rsid w:val="008453DD"/>
    <w:rsid w:val="0084569E"/>
    <w:rsid w:val="00863E41"/>
    <w:rsid w:val="0087100E"/>
    <w:rsid w:val="00872974"/>
    <w:rsid w:val="008742F7"/>
    <w:rsid w:val="008762E3"/>
    <w:rsid w:val="00877A1C"/>
    <w:rsid w:val="008804C8"/>
    <w:rsid w:val="00880A92"/>
    <w:rsid w:val="00881788"/>
    <w:rsid w:val="0088462B"/>
    <w:rsid w:val="00885090"/>
    <w:rsid w:val="00886247"/>
    <w:rsid w:val="008910EC"/>
    <w:rsid w:val="00891128"/>
    <w:rsid w:val="008935EF"/>
    <w:rsid w:val="00894069"/>
    <w:rsid w:val="00894EE4"/>
    <w:rsid w:val="00897467"/>
    <w:rsid w:val="00897534"/>
    <w:rsid w:val="008A1BF5"/>
    <w:rsid w:val="008A3C91"/>
    <w:rsid w:val="008A4034"/>
    <w:rsid w:val="008A4686"/>
    <w:rsid w:val="008A4B56"/>
    <w:rsid w:val="008A7013"/>
    <w:rsid w:val="008A7195"/>
    <w:rsid w:val="008A7887"/>
    <w:rsid w:val="008B2100"/>
    <w:rsid w:val="008B48AC"/>
    <w:rsid w:val="008B5229"/>
    <w:rsid w:val="008B66B7"/>
    <w:rsid w:val="008B7080"/>
    <w:rsid w:val="008B7807"/>
    <w:rsid w:val="008C1A52"/>
    <w:rsid w:val="008C3069"/>
    <w:rsid w:val="008C321D"/>
    <w:rsid w:val="008C4C8B"/>
    <w:rsid w:val="008C7C27"/>
    <w:rsid w:val="008D11E9"/>
    <w:rsid w:val="008D27BE"/>
    <w:rsid w:val="008D424F"/>
    <w:rsid w:val="008D55BC"/>
    <w:rsid w:val="008D761C"/>
    <w:rsid w:val="008E0996"/>
    <w:rsid w:val="008E16EF"/>
    <w:rsid w:val="008E4EB6"/>
    <w:rsid w:val="008E5EDC"/>
    <w:rsid w:val="008F0570"/>
    <w:rsid w:val="008F05F0"/>
    <w:rsid w:val="008F07DC"/>
    <w:rsid w:val="008F2AA5"/>
    <w:rsid w:val="008F30AE"/>
    <w:rsid w:val="008F3978"/>
    <w:rsid w:val="008F45A8"/>
    <w:rsid w:val="008F5DDC"/>
    <w:rsid w:val="008F7057"/>
    <w:rsid w:val="008F710D"/>
    <w:rsid w:val="009001C9"/>
    <w:rsid w:val="00904912"/>
    <w:rsid w:val="00906308"/>
    <w:rsid w:val="0091365F"/>
    <w:rsid w:val="00916DAA"/>
    <w:rsid w:val="00917B4F"/>
    <w:rsid w:val="00922293"/>
    <w:rsid w:val="00923F0F"/>
    <w:rsid w:val="00924BE0"/>
    <w:rsid w:val="00927FBB"/>
    <w:rsid w:val="00930E76"/>
    <w:rsid w:val="0093111C"/>
    <w:rsid w:val="0093216A"/>
    <w:rsid w:val="00932D1B"/>
    <w:rsid w:val="0093569B"/>
    <w:rsid w:val="00935F07"/>
    <w:rsid w:val="00937777"/>
    <w:rsid w:val="00940F3C"/>
    <w:rsid w:val="00941899"/>
    <w:rsid w:val="00942B59"/>
    <w:rsid w:val="009442A4"/>
    <w:rsid w:val="00946B1B"/>
    <w:rsid w:val="0095201E"/>
    <w:rsid w:val="009523FE"/>
    <w:rsid w:val="00952988"/>
    <w:rsid w:val="00952BE2"/>
    <w:rsid w:val="00952D3F"/>
    <w:rsid w:val="00956243"/>
    <w:rsid w:val="009606D5"/>
    <w:rsid w:val="00962AA4"/>
    <w:rsid w:val="009663B2"/>
    <w:rsid w:val="00967135"/>
    <w:rsid w:val="009676C3"/>
    <w:rsid w:val="0097099B"/>
    <w:rsid w:val="00975C25"/>
    <w:rsid w:val="00977339"/>
    <w:rsid w:val="00980032"/>
    <w:rsid w:val="00981BE5"/>
    <w:rsid w:val="00981E54"/>
    <w:rsid w:val="00983285"/>
    <w:rsid w:val="00983935"/>
    <w:rsid w:val="009850EF"/>
    <w:rsid w:val="00987A04"/>
    <w:rsid w:val="00990854"/>
    <w:rsid w:val="00990F18"/>
    <w:rsid w:val="009940F1"/>
    <w:rsid w:val="00996109"/>
    <w:rsid w:val="009974C4"/>
    <w:rsid w:val="009A2FA1"/>
    <w:rsid w:val="009A61CB"/>
    <w:rsid w:val="009B41B8"/>
    <w:rsid w:val="009B4D02"/>
    <w:rsid w:val="009B5F1A"/>
    <w:rsid w:val="009B742E"/>
    <w:rsid w:val="009B78E6"/>
    <w:rsid w:val="009C2783"/>
    <w:rsid w:val="009C555E"/>
    <w:rsid w:val="009C6E60"/>
    <w:rsid w:val="009D0763"/>
    <w:rsid w:val="009D0882"/>
    <w:rsid w:val="009D13AF"/>
    <w:rsid w:val="009D1815"/>
    <w:rsid w:val="009D1954"/>
    <w:rsid w:val="009D5456"/>
    <w:rsid w:val="009D6A96"/>
    <w:rsid w:val="009E08B2"/>
    <w:rsid w:val="009E0ACA"/>
    <w:rsid w:val="009E0EA7"/>
    <w:rsid w:val="009E2EBF"/>
    <w:rsid w:val="009E33A7"/>
    <w:rsid w:val="009E6E3A"/>
    <w:rsid w:val="009F06A9"/>
    <w:rsid w:val="009F3B5B"/>
    <w:rsid w:val="009F508F"/>
    <w:rsid w:val="009F5518"/>
    <w:rsid w:val="009F6084"/>
    <w:rsid w:val="009F6472"/>
    <w:rsid w:val="009F6E48"/>
    <w:rsid w:val="009F6FE4"/>
    <w:rsid w:val="009F7F28"/>
    <w:rsid w:val="00A02808"/>
    <w:rsid w:val="00A02EA8"/>
    <w:rsid w:val="00A05E27"/>
    <w:rsid w:val="00A066D5"/>
    <w:rsid w:val="00A11F9C"/>
    <w:rsid w:val="00A13660"/>
    <w:rsid w:val="00A1495A"/>
    <w:rsid w:val="00A15B88"/>
    <w:rsid w:val="00A15DE5"/>
    <w:rsid w:val="00A20099"/>
    <w:rsid w:val="00A20469"/>
    <w:rsid w:val="00A216BD"/>
    <w:rsid w:val="00A22DEB"/>
    <w:rsid w:val="00A23A2D"/>
    <w:rsid w:val="00A32B27"/>
    <w:rsid w:val="00A36E33"/>
    <w:rsid w:val="00A404E1"/>
    <w:rsid w:val="00A41A0F"/>
    <w:rsid w:val="00A45544"/>
    <w:rsid w:val="00A52928"/>
    <w:rsid w:val="00A537CD"/>
    <w:rsid w:val="00A53D61"/>
    <w:rsid w:val="00A61D2F"/>
    <w:rsid w:val="00A625D4"/>
    <w:rsid w:val="00A653F6"/>
    <w:rsid w:val="00A7183D"/>
    <w:rsid w:val="00A73446"/>
    <w:rsid w:val="00A7381E"/>
    <w:rsid w:val="00A817E6"/>
    <w:rsid w:val="00A904B1"/>
    <w:rsid w:val="00A9314E"/>
    <w:rsid w:val="00A93E37"/>
    <w:rsid w:val="00AA1E45"/>
    <w:rsid w:val="00AA36D8"/>
    <w:rsid w:val="00AA3FFB"/>
    <w:rsid w:val="00AA4C76"/>
    <w:rsid w:val="00AA5375"/>
    <w:rsid w:val="00AA6642"/>
    <w:rsid w:val="00AB2D9F"/>
    <w:rsid w:val="00AB4039"/>
    <w:rsid w:val="00AB5507"/>
    <w:rsid w:val="00AB630E"/>
    <w:rsid w:val="00AC0037"/>
    <w:rsid w:val="00AC25DB"/>
    <w:rsid w:val="00AC2CCC"/>
    <w:rsid w:val="00AD350B"/>
    <w:rsid w:val="00AD3A30"/>
    <w:rsid w:val="00AD467F"/>
    <w:rsid w:val="00AD77A5"/>
    <w:rsid w:val="00AE157E"/>
    <w:rsid w:val="00AE1A05"/>
    <w:rsid w:val="00AE393E"/>
    <w:rsid w:val="00AE50E3"/>
    <w:rsid w:val="00AF3875"/>
    <w:rsid w:val="00AF3A0E"/>
    <w:rsid w:val="00AF53F8"/>
    <w:rsid w:val="00B02B0F"/>
    <w:rsid w:val="00B0521B"/>
    <w:rsid w:val="00B1097D"/>
    <w:rsid w:val="00B11E9E"/>
    <w:rsid w:val="00B138F2"/>
    <w:rsid w:val="00B150C6"/>
    <w:rsid w:val="00B16A1F"/>
    <w:rsid w:val="00B2370F"/>
    <w:rsid w:val="00B23FD4"/>
    <w:rsid w:val="00B24BBB"/>
    <w:rsid w:val="00B256CD"/>
    <w:rsid w:val="00B27FBF"/>
    <w:rsid w:val="00B3288E"/>
    <w:rsid w:val="00B3333D"/>
    <w:rsid w:val="00B33E20"/>
    <w:rsid w:val="00B37EEE"/>
    <w:rsid w:val="00B42D36"/>
    <w:rsid w:val="00B432B9"/>
    <w:rsid w:val="00B43D98"/>
    <w:rsid w:val="00B44271"/>
    <w:rsid w:val="00B44410"/>
    <w:rsid w:val="00B52DD9"/>
    <w:rsid w:val="00B549AD"/>
    <w:rsid w:val="00B57ACC"/>
    <w:rsid w:val="00B61313"/>
    <w:rsid w:val="00B61BF6"/>
    <w:rsid w:val="00B67887"/>
    <w:rsid w:val="00B67F6C"/>
    <w:rsid w:val="00B71DE1"/>
    <w:rsid w:val="00B7368D"/>
    <w:rsid w:val="00B73C4D"/>
    <w:rsid w:val="00B74772"/>
    <w:rsid w:val="00B75C06"/>
    <w:rsid w:val="00B77A17"/>
    <w:rsid w:val="00B8232D"/>
    <w:rsid w:val="00B83666"/>
    <w:rsid w:val="00B838D2"/>
    <w:rsid w:val="00B83B25"/>
    <w:rsid w:val="00B84EEA"/>
    <w:rsid w:val="00B85F9E"/>
    <w:rsid w:val="00B86C82"/>
    <w:rsid w:val="00B92B6E"/>
    <w:rsid w:val="00B93A62"/>
    <w:rsid w:val="00BB0CBE"/>
    <w:rsid w:val="00BB0F14"/>
    <w:rsid w:val="00BB4D38"/>
    <w:rsid w:val="00BB5DD5"/>
    <w:rsid w:val="00BC3153"/>
    <w:rsid w:val="00BC3E31"/>
    <w:rsid w:val="00BC4403"/>
    <w:rsid w:val="00BC465F"/>
    <w:rsid w:val="00BD0620"/>
    <w:rsid w:val="00BD1C8E"/>
    <w:rsid w:val="00BD49FD"/>
    <w:rsid w:val="00BD4EFA"/>
    <w:rsid w:val="00BD6E89"/>
    <w:rsid w:val="00BE1E47"/>
    <w:rsid w:val="00BE1F02"/>
    <w:rsid w:val="00BE402D"/>
    <w:rsid w:val="00BE4820"/>
    <w:rsid w:val="00BE4860"/>
    <w:rsid w:val="00BE6718"/>
    <w:rsid w:val="00BE717F"/>
    <w:rsid w:val="00BF28BB"/>
    <w:rsid w:val="00BF3847"/>
    <w:rsid w:val="00BF46EB"/>
    <w:rsid w:val="00BF57EB"/>
    <w:rsid w:val="00C01E7E"/>
    <w:rsid w:val="00C056EA"/>
    <w:rsid w:val="00C07FCC"/>
    <w:rsid w:val="00C21F3C"/>
    <w:rsid w:val="00C226EF"/>
    <w:rsid w:val="00C24CDC"/>
    <w:rsid w:val="00C26B8E"/>
    <w:rsid w:val="00C37D1E"/>
    <w:rsid w:val="00C40921"/>
    <w:rsid w:val="00C43E17"/>
    <w:rsid w:val="00C44B02"/>
    <w:rsid w:val="00C52114"/>
    <w:rsid w:val="00C5338E"/>
    <w:rsid w:val="00C53D7E"/>
    <w:rsid w:val="00C548EB"/>
    <w:rsid w:val="00C553E4"/>
    <w:rsid w:val="00C56344"/>
    <w:rsid w:val="00C60539"/>
    <w:rsid w:val="00C61E9E"/>
    <w:rsid w:val="00C62F83"/>
    <w:rsid w:val="00C64E30"/>
    <w:rsid w:val="00C65717"/>
    <w:rsid w:val="00C657B6"/>
    <w:rsid w:val="00C66177"/>
    <w:rsid w:val="00C66A43"/>
    <w:rsid w:val="00C73A88"/>
    <w:rsid w:val="00C73BA5"/>
    <w:rsid w:val="00C832B0"/>
    <w:rsid w:val="00C83301"/>
    <w:rsid w:val="00C833A1"/>
    <w:rsid w:val="00C83E78"/>
    <w:rsid w:val="00C849D3"/>
    <w:rsid w:val="00C859B4"/>
    <w:rsid w:val="00C879CC"/>
    <w:rsid w:val="00C87D0D"/>
    <w:rsid w:val="00C90F22"/>
    <w:rsid w:val="00C91604"/>
    <w:rsid w:val="00C91F85"/>
    <w:rsid w:val="00C93EAA"/>
    <w:rsid w:val="00C94EA4"/>
    <w:rsid w:val="00C958F7"/>
    <w:rsid w:val="00C96CC4"/>
    <w:rsid w:val="00CA2BF0"/>
    <w:rsid w:val="00CA3496"/>
    <w:rsid w:val="00CA3A67"/>
    <w:rsid w:val="00CA3EC9"/>
    <w:rsid w:val="00CA694D"/>
    <w:rsid w:val="00CA7B56"/>
    <w:rsid w:val="00CB0648"/>
    <w:rsid w:val="00CB3722"/>
    <w:rsid w:val="00CC1115"/>
    <w:rsid w:val="00CC1933"/>
    <w:rsid w:val="00CC2232"/>
    <w:rsid w:val="00CC6B8C"/>
    <w:rsid w:val="00CC72CA"/>
    <w:rsid w:val="00CD11E2"/>
    <w:rsid w:val="00CD56FF"/>
    <w:rsid w:val="00CD747C"/>
    <w:rsid w:val="00CE484A"/>
    <w:rsid w:val="00CF000B"/>
    <w:rsid w:val="00CF1073"/>
    <w:rsid w:val="00CF1866"/>
    <w:rsid w:val="00CF2D8F"/>
    <w:rsid w:val="00CF3F60"/>
    <w:rsid w:val="00CF6A27"/>
    <w:rsid w:val="00D000D0"/>
    <w:rsid w:val="00D00192"/>
    <w:rsid w:val="00D004D1"/>
    <w:rsid w:val="00D00B75"/>
    <w:rsid w:val="00D03201"/>
    <w:rsid w:val="00D03DF8"/>
    <w:rsid w:val="00D04635"/>
    <w:rsid w:val="00D1047E"/>
    <w:rsid w:val="00D120EA"/>
    <w:rsid w:val="00D12283"/>
    <w:rsid w:val="00D2030B"/>
    <w:rsid w:val="00D222D9"/>
    <w:rsid w:val="00D22414"/>
    <w:rsid w:val="00D22E34"/>
    <w:rsid w:val="00D24D7C"/>
    <w:rsid w:val="00D261C3"/>
    <w:rsid w:val="00D26A16"/>
    <w:rsid w:val="00D276F5"/>
    <w:rsid w:val="00D30478"/>
    <w:rsid w:val="00D30C2F"/>
    <w:rsid w:val="00D31A70"/>
    <w:rsid w:val="00D32D37"/>
    <w:rsid w:val="00D33CC2"/>
    <w:rsid w:val="00D354EE"/>
    <w:rsid w:val="00D36677"/>
    <w:rsid w:val="00D3714E"/>
    <w:rsid w:val="00D37284"/>
    <w:rsid w:val="00D374DB"/>
    <w:rsid w:val="00D37EC6"/>
    <w:rsid w:val="00D41316"/>
    <w:rsid w:val="00D43108"/>
    <w:rsid w:val="00D50468"/>
    <w:rsid w:val="00D512BE"/>
    <w:rsid w:val="00D528B9"/>
    <w:rsid w:val="00D528CC"/>
    <w:rsid w:val="00D5517F"/>
    <w:rsid w:val="00D552CD"/>
    <w:rsid w:val="00D60A52"/>
    <w:rsid w:val="00D61838"/>
    <w:rsid w:val="00D651AB"/>
    <w:rsid w:val="00D6656C"/>
    <w:rsid w:val="00D674BB"/>
    <w:rsid w:val="00D70D78"/>
    <w:rsid w:val="00D71927"/>
    <w:rsid w:val="00D730FA"/>
    <w:rsid w:val="00D73EB1"/>
    <w:rsid w:val="00D76D59"/>
    <w:rsid w:val="00D80934"/>
    <w:rsid w:val="00D83A42"/>
    <w:rsid w:val="00D87AFD"/>
    <w:rsid w:val="00D9106C"/>
    <w:rsid w:val="00D910F9"/>
    <w:rsid w:val="00D938ED"/>
    <w:rsid w:val="00D96CB3"/>
    <w:rsid w:val="00D96DA9"/>
    <w:rsid w:val="00DA123F"/>
    <w:rsid w:val="00DA1AC1"/>
    <w:rsid w:val="00DA2482"/>
    <w:rsid w:val="00DA2ECE"/>
    <w:rsid w:val="00DB0E82"/>
    <w:rsid w:val="00DB414B"/>
    <w:rsid w:val="00DB54FA"/>
    <w:rsid w:val="00DC0652"/>
    <w:rsid w:val="00DC1EF1"/>
    <w:rsid w:val="00DC495B"/>
    <w:rsid w:val="00DC4CF9"/>
    <w:rsid w:val="00DC6502"/>
    <w:rsid w:val="00DC6677"/>
    <w:rsid w:val="00DC7450"/>
    <w:rsid w:val="00DC7729"/>
    <w:rsid w:val="00DD260F"/>
    <w:rsid w:val="00DD37CD"/>
    <w:rsid w:val="00DD50E4"/>
    <w:rsid w:val="00DD5315"/>
    <w:rsid w:val="00DE319A"/>
    <w:rsid w:val="00DE353C"/>
    <w:rsid w:val="00DE43F5"/>
    <w:rsid w:val="00DE5576"/>
    <w:rsid w:val="00DE589F"/>
    <w:rsid w:val="00DE63E5"/>
    <w:rsid w:val="00DF130F"/>
    <w:rsid w:val="00DF1443"/>
    <w:rsid w:val="00DF35DA"/>
    <w:rsid w:val="00DF46D8"/>
    <w:rsid w:val="00DF6335"/>
    <w:rsid w:val="00DF70D9"/>
    <w:rsid w:val="00DF738B"/>
    <w:rsid w:val="00E00DB3"/>
    <w:rsid w:val="00E02601"/>
    <w:rsid w:val="00E05E76"/>
    <w:rsid w:val="00E063CB"/>
    <w:rsid w:val="00E07670"/>
    <w:rsid w:val="00E07797"/>
    <w:rsid w:val="00E1438F"/>
    <w:rsid w:val="00E14E4A"/>
    <w:rsid w:val="00E1620A"/>
    <w:rsid w:val="00E16661"/>
    <w:rsid w:val="00E22ED9"/>
    <w:rsid w:val="00E24E8B"/>
    <w:rsid w:val="00E2654F"/>
    <w:rsid w:val="00E30822"/>
    <w:rsid w:val="00E33AFA"/>
    <w:rsid w:val="00E341D9"/>
    <w:rsid w:val="00E341F6"/>
    <w:rsid w:val="00E355DD"/>
    <w:rsid w:val="00E36A79"/>
    <w:rsid w:val="00E37CA4"/>
    <w:rsid w:val="00E40BF5"/>
    <w:rsid w:val="00E4207B"/>
    <w:rsid w:val="00E560F3"/>
    <w:rsid w:val="00E57494"/>
    <w:rsid w:val="00E57750"/>
    <w:rsid w:val="00E57864"/>
    <w:rsid w:val="00E607C9"/>
    <w:rsid w:val="00E6154A"/>
    <w:rsid w:val="00E61953"/>
    <w:rsid w:val="00E65728"/>
    <w:rsid w:val="00E70FBC"/>
    <w:rsid w:val="00E71D63"/>
    <w:rsid w:val="00E72421"/>
    <w:rsid w:val="00E73985"/>
    <w:rsid w:val="00E751D9"/>
    <w:rsid w:val="00E75F0C"/>
    <w:rsid w:val="00E76989"/>
    <w:rsid w:val="00E77134"/>
    <w:rsid w:val="00E779CC"/>
    <w:rsid w:val="00E8154D"/>
    <w:rsid w:val="00E83D25"/>
    <w:rsid w:val="00E91300"/>
    <w:rsid w:val="00E93754"/>
    <w:rsid w:val="00E95E70"/>
    <w:rsid w:val="00E96091"/>
    <w:rsid w:val="00E976F4"/>
    <w:rsid w:val="00EA0B26"/>
    <w:rsid w:val="00EA2EAB"/>
    <w:rsid w:val="00EA3F8C"/>
    <w:rsid w:val="00EA40DB"/>
    <w:rsid w:val="00EA50EE"/>
    <w:rsid w:val="00EB1D67"/>
    <w:rsid w:val="00EB2910"/>
    <w:rsid w:val="00EB6973"/>
    <w:rsid w:val="00EB6CDA"/>
    <w:rsid w:val="00EB7B24"/>
    <w:rsid w:val="00EB7BEB"/>
    <w:rsid w:val="00EC1258"/>
    <w:rsid w:val="00EC4F9B"/>
    <w:rsid w:val="00ED480F"/>
    <w:rsid w:val="00EE18B4"/>
    <w:rsid w:val="00EE2EC2"/>
    <w:rsid w:val="00EF002F"/>
    <w:rsid w:val="00EF0200"/>
    <w:rsid w:val="00EF17BA"/>
    <w:rsid w:val="00EF268F"/>
    <w:rsid w:val="00EF270B"/>
    <w:rsid w:val="00F01739"/>
    <w:rsid w:val="00F02457"/>
    <w:rsid w:val="00F033E8"/>
    <w:rsid w:val="00F06335"/>
    <w:rsid w:val="00F106D8"/>
    <w:rsid w:val="00F11F11"/>
    <w:rsid w:val="00F144EE"/>
    <w:rsid w:val="00F15ACB"/>
    <w:rsid w:val="00F17DCF"/>
    <w:rsid w:val="00F20C04"/>
    <w:rsid w:val="00F22244"/>
    <w:rsid w:val="00F254AA"/>
    <w:rsid w:val="00F26C10"/>
    <w:rsid w:val="00F3224D"/>
    <w:rsid w:val="00F33FFD"/>
    <w:rsid w:val="00F3412E"/>
    <w:rsid w:val="00F35055"/>
    <w:rsid w:val="00F36BAA"/>
    <w:rsid w:val="00F401A2"/>
    <w:rsid w:val="00F42D70"/>
    <w:rsid w:val="00F43C3B"/>
    <w:rsid w:val="00F44C78"/>
    <w:rsid w:val="00F46C98"/>
    <w:rsid w:val="00F502D3"/>
    <w:rsid w:val="00F50845"/>
    <w:rsid w:val="00F51B9C"/>
    <w:rsid w:val="00F56140"/>
    <w:rsid w:val="00F603C6"/>
    <w:rsid w:val="00F60C96"/>
    <w:rsid w:val="00F61672"/>
    <w:rsid w:val="00F63F89"/>
    <w:rsid w:val="00F63F8E"/>
    <w:rsid w:val="00F64BC0"/>
    <w:rsid w:val="00F66FD4"/>
    <w:rsid w:val="00F71F74"/>
    <w:rsid w:val="00F725AE"/>
    <w:rsid w:val="00F731C4"/>
    <w:rsid w:val="00F75C88"/>
    <w:rsid w:val="00F76594"/>
    <w:rsid w:val="00F80A9E"/>
    <w:rsid w:val="00F93276"/>
    <w:rsid w:val="00F96259"/>
    <w:rsid w:val="00F965B6"/>
    <w:rsid w:val="00F967D6"/>
    <w:rsid w:val="00FA182F"/>
    <w:rsid w:val="00FA1B7D"/>
    <w:rsid w:val="00FA38CE"/>
    <w:rsid w:val="00FA5078"/>
    <w:rsid w:val="00FA5F09"/>
    <w:rsid w:val="00FA64B0"/>
    <w:rsid w:val="00FB0057"/>
    <w:rsid w:val="00FB0065"/>
    <w:rsid w:val="00FB378C"/>
    <w:rsid w:val="00FB396B"/>
    <w:rsid w:val="00FB3D80"/>
    <w:rsid w:val="00FC361B"/>
    <w:rsid w:val="00FC6258"/>
    <w:rsid w:val="00FC6B91"/>
    <w:rsid w:val="00FC7635"/>
    <w:rsid w:val="00FC799B"/>
    <w:rsid w:val="00FC7F72"/>
    <w:rsid w:val="00FD3763"/>
    <w:rsid w:val="00FD747D"/>
    <w:rsid w:val="00FE1BC4"/>
    <w:rsid w:val="00FE3578"/>
    <w:rsid w:val="00FE4DE7"/>
    <w:rsid w:val="00FE4E1A"/>
    <w:rsid w:val="00FF1017"/>
    <w:rsid w:val="00FF2AA6"/>
    <w:rsid w:val="00FF30F1"/>
    <w:rsid w:val="00FF3607"/>
    <w:rsid w:val="00FF444A"/>
    <w:rsid w:val="00FF4EF0"/>
    <w:rsid w:val="00FF6845"/>
    <w:rsid w:val="00FF7421"/>
    <w:rsid w:val="07FB70A6"/>
    <w:rsid w:val="0DA164D8"/>
    <w:rsid w:val="1F9452C5"/>
    <w:rsid w:val="3DBE18A3"/>
    <w:rsid w:val="4B6D0E9D"/>
    <w:rsid w:val="6E8638FD"/>
    <w:rsid w:val="6E875D03"/>
    <w:rsid w:val="D5D5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7"/>
    <w:qFormat/>
    <w:uiPriority w:val="9"/>
    <w:pPr>
      <w:keepNext/>
      <w:keepLines/>
      <w:ind w:firstLine="0" w:firstLineChars="0"/>
      <w:outlineLvl w:val="0"/>
    </w:pPr>
    <w:rPr>
      <w:b/>
      <w:bCs/>
      <w:kern w:val="44"/>
      <w:sz w:val="36"/>
      <w:szCs w:val="44"/>
    </w:rPr>
  </w:style>
  <w:style w:type="paragraph" w:styleId="3">
    <w:name w:val="heading 2"/>
    <w:basedOn w:val="1"/>
    <w:next w:val="1"/>
    <w:link w:val="38"/>
    <w:unhideWhenUsed/>
    <w:qFormat/>
    <w:uiPriority w:val="0"/>
    <w:pPr>
      <w:keepNext/>
      <w:keepLines/>
      <w:ind w:firstLine="0" w:firstLineChars="0"/>
      <w:outlineLvl w:val="1"/>
    </w:pPr>
    <w:rPr>
      <w:rFonts w:cstheme="majorBidi"/>
      <w:b/>
      <w:bCs/>
      <w:sz w:val="32"/>
      <w:szCs w:val="32"/>
    </w:rPr>
  </w:style>
  <w:style w:type="paragraph" w:styleId="4">
    <w:name w:val="heading 3"/>
    <w:basedOn w:val="1"/>
    <w:next w:val="1"/>
    <w:link w:val="40"/>
    <w:unhideWhenUsed/>
    <w:qFormat/>
    <w:uiPriority w:val="0"/>
    <w:pPr>
      <w:keepNext/>
      <w:keepLines/>
      <w:ind w:firstLine="0" w:firstLineChars="0"/>
      <w:outlineLvl w:val="2"/>
    </w:pPr>
    <w:rPr>
      <w:b/>
      <w:bCs/>
      <w:sz w:val="30"/>
      <w:szCs w:val="32"/>
    </w:rPr>
  </w:style>
  <w:style w:type="paragraph" w:styleId="5">
    <w:name w:val="heading 4"/>
    <w:basedOn w:val="1"/>
    <w:next w:val="1"/>
    <w:link w:val="42"/>
    <w:unhideWhenUsed/>
    <w:qFormat/>
    <w:uiPriority w:val="9"/>
    <w:pPr>
      <w:keepNext/>
      <w:keepLines/>
      <w:ind w:firstLine="0" w:firstLineChars="0"/>
      <w:outlineLvl w:val="3"/>
    </w:pPr>
    <w:rPr>
      <w:rFonts w:cstheme="majorBidi"/>
      <w:b/>
      <w:bCs/>
      <w:szCs w:val="28"/>
    </w:rPr>
  </w:style>
  <w:style w:type="paragraph" w:styleId="6">
    <w:name w:val="heading 5"/>
    <w:basedOn w:val="1"/>
    <w:next w:val="1"/>
    <w:link w:val="43"/>
    <w:unhideWhenUsed/>
    <w:qFormat/>
    <w:uiPriority w:val="9"/>
    <w:pPr>
      <w:keepNext/>
      <w:keepLines/>
      <w:spacing w:before="280" w:after="290" w:line="376" w:lineRule="auto"/>
      <w:outlineLvl w:val="4"/>
    </w:pPr>
    <w:rPr>
      <w:b/>
      <w:bCs/>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adjustRightInd/>
      <w:snapToGrid/>
      <w:spacing w:line="240" w:lineRule="auto"/>
      <w:ind w:left="2520" w:leftChars="1200" w:firstLine="0" w:firstLineChars="0"/>
    </w:pPr>
    <w:rPr>
      <w:rFonts w:asciiTheme="minorHAnsi" w:hAnsiTheme="minorHAnsi" w:eastAsiaTheme="minorEastAsia" w:cstheme="minorBidi"/>
      <w:sz w:val="21"/>
      <w:szCs w:val="22"/>
    </w:rPr>
  </w:style>
  <w:style w:type="paragraph" w:styleId="8">
    <w:name w:val="caption"/>
    <w:basedOn w:val="1"/>
    <w:next w:val="1"/>
    <w:semiHidden/>
    <w:unhideWhenUsed/>
    <w:qFormat/>
    <w:uiPriority w:val="35"/>
    <w:rPr>
      <w:rFonts w:eastAsia="黑体" w:asciiTheme="majorHAnsi" w:hAnsiTheme="majorHAnsi" w:cstheme="majorBidi"/>
      <w:sz w:val="20"/>
      <w:szCs w:val="20"/>
    </w:rPr>
  </w:style>
  <w:style w:type="paragraph" w:styleId="9">
    <w:name w:val="annotation text"/>
    <w:basedOn w:val="1"/>
    <w:link w:val="45"/>
    <w:qFormat/>
    <w:uiPriority w:val="0"/>
    <w:pPr>
      <w:jc w:val="left"/>
    </w:pPr>
  </w:style>
  <w:style w:type="paragraph" w:styleId="10">
    <w:name w:val="Body Text"/>
    <w:basedOn w:val="1"/>
    <w:link w:val="46"/>
    <w:qFormat/>
    <w:uiPriority w:val="99"/>
    <w:pPr>
      <w:spacing w:after="120"/>
    </w:pPr>
  </w:style>
  <w:style w:type="paragraph" w:styleId="11">
    <w:name w:val="toc 5"/>
    <w:basedOn w:val="1"/>
    <w:next w:val="1"/>
    <w:unhideWhenUsed/>
    <w:qFormat/>
    <w:uiPriority w:val="39"/>
    <w:pPr>
      <w:adjustRightInd/>
      <w:snapToGrid/>
      <w:spacing w:line="240" w:lineRule="auto"/>
      <w:ind w:left="1680" w:leftChars="800" w:firstLine="0" w:firstLineChars="0"/>
    </w:pPr>
    <w:rPr>
      <w:rFonts w:asciiTheme="minorHAnsi" w:hAnsiTheme="minorHAnsi" w:eastAsiaTheme="minorEastAsia" w:cstheme="minorBidi"/>
      <w:sz w:val="21"/>
      <w:szCs w:val="22"/>
    </w:rPr>
  </w:style>
  <w:style w:type="paragraph" w:styleId="12">
    <w:name w:val="toc 3"/>
    <w:basedOn w:val="1"/>
    <w:next w:val="1"/>
    <w:unhideWhenUsed/>
    <w:qFormat/>
    <w:uiPriority w:val="39"/>
    <w:pPr>
      <w:ind w:left="840" w:leftChars="400"/>
    </w:pPr>
    <w:rPr>
      <w:rFonts w:ascii="Calibri" w:hAnsi="Calibri"/>
    </w:rPr>
  </w:style>
  <w:style w:type="paragraph" w:styleId="13">
    <w:name w:val="toc 8"/>
    <w:basedOn w:val="1"/>
    <w:next w:val="1"/>
    <w:unhideWhenUsed/>
    <w:qFormat/>
    <w:uiPriority w:val="39"/>
    <w:pPr>
      <w:adjustRightInd/>
      <w:snapToGrid/>
      <w:spacing w:line="240" w:lineRule="auto"/>
      <w:ind w:left="2940" w:leftChars="1400" w:firstLine="0" w:firstLineChars="0"/>
    </w:pPr>
    <w:rPr>
      <w:rFonts w:asciiTheme="minorHAnsi" w:hAnsiTheme="minorHAnsi" w:eastAsiaTheme="minorEastAsia" w:cstheme="minorBidi"/>
      <w:sz w:val="21"/>
      <w:szCs w:val="22"/>
    </w:rPr>
  </w:style>
  <w:style w:type="paragraph" w:styleId="14">
    <w:name w:val="Date"/>
    <w:basedOn w:val="1"/>
    <w:next w:val="1"/>
    <w:link w:val="47"/>
    <w:qFormat/>
    <w:uiPriority w:val="0"/>
    <w:pPr>
      <w:ind w:left="100" w:leftChars="2500"/>
    </w:pPr>
  </w:style>
  <w:style w:type="paragraph" w:styleId="15">
    <w:name w:val="footer"/>
    <w:basedOn w:val="1"/>
    <w:link w:val="36"/>
    <w:unhideWhenUsed/>
    <w:qFormat/>
    <w:uiPriority w:val="99"/>
    <w:pPr>
      <w:tabs>
        <w:tab w:val="center" w:pos="4153"/>
        <w:tab w:val="right" w:pos="8306"/>
      </w:tabs>
      <w:jc w:val="left"/>
    </w:pPr>
    <w:rPr>
      <w:sz w:val="18"/>
      <w:szCs w:val="18"/>
    </w:rPr>
  </w:style>
  <w:style w:type="paragraph" w:styleId="16">
    <w:name w:val="header"/>
    <w:basedOn w:val="1"/>
    <w:link w:val="35"/>
    <w:unhideWhenUsed/>
    <w:qFormat/>
    <w:uiPriority w:val="99"/>
    <w:pPr>
      <w:pBdr>
        <w:bottom w:val="single" w:color="auto" w:sz="4" w:space="1"/>
      </w:pBdr>
      <w:tabs>
        <w:tab w:val="center" w:pos="4153"/>
        <w:tab w:val="right" w:pos="8306"/>
      </w:tabs>
      <w:jc w:val="center"/>
    </w:pPr>
    <w:rPr>
      <w:sz w:val="18"/>
      <w:szCs w:val="18"/>
    </w:rPr>
  </w:style>
  <w:style w:type="paragraph" w:styleId="17">
    <w:name w:val="toc 1"/>
    <w:basedOn w:val="1"/>
    <w:next w:val="1"/>
    <w:unhideWhenUsed/>
    <w:qFormat/>
    <w:uiPriority w:val="39"/>
    <w:pPr>
      <w:tabs>
        <w:tab w:val="right" w:leader="dot" w:pos="8302"/>
      </w:tabs>
      <w:jc w:val="right"/>
    </w:pPr>
    <w:rPr>
      <w:rFonts w:ascii="Calibri" w:hAnsi="Calibri"/>
    </w:rPr>
  </w:style>
  <w:style w:type="paragraph" w:styleId="18">
    <w:name w:val="toc 4"/>
    <w:basedOn w:val="1"/>
    <w:next w:val="1"/>
    <w:unhideWhenUsed/>
    <w:qFormat/>
    <w:uiPriority w:val="39"/>
    <w:pPr>
      <w:adjustRightInd/>
      <w:snapToGrid/>
      <w:spacing w:line="240" w:lineRule="auto"/>
      <w:ind w:left="1260" w:leftChars="600" w:firstLine="0" w:firstLineChars="0"/>
    </w:pPr>
    <w:rPr>
      <w:rFonts w:asciiTheme="minorHAnsi" w:hAnsiTheme="minorHAnsi" w:eastAsiaTheme="minorEastAsia" w:cstheme="minorBidi"/>
      <w:sz w:val="21"/>
      <w:szCs w:val="22"/>
    </w:rPr>
  </w:style>
  <w:style w:type="paragraph" w:styleId="19">
    <w:name w:val="footnote text"/>
    <w:basedOn w:val="1"/>
    <w:link w:val="44"/>
    <w:semiHidden/>
    <w:unhideWhenUsed/>
    <w:qFormat/>
    <w:uiPriority w:val="99"/>
    <w:pPr>
      <w:adjustRightInd/>
      <w:spacing w:line="560" w:lineRule="exact"/>
      <w:ind w:firstLine="643"/>
      <w:jc w:val="left"/>
    </w:pPr>
    <w:rPr>
      <w:rFonts w:ascii="仿宋" w:hAnsi="仿宋" w:eastAsia="仿宋_GB2312" w:cstheme="minorBidi"/>
      <w:sz w:val="18"/>
      <w:szCs w:val="18"/>
    </w:rPr>
  </w:style>
  <w:style w:type="paragraph" w:styleId="20">
    <w:name w:val="toc 6"/>
    <w:basedOn w:val="1"/>
    <w:next w:val="1"/>
    <w:unhideWhenUsed/>
    <w:qFormat/>
    <w:uiPriority w:val="39"/>
    <w:pPr>
      <w:adjustRightInd/>
      <w:snapToGrid/>
      <w:spacing w:line="240" w:lineRule="auto"/>
      <w:ind w:left="2100" w:leftChars="1000" w:firstLine="0" w:firstLineChars="0"/>
    </w:pPr>
    <w:rPr>
      <w:rFonts w:asciiTheme="minorHAnsi" w:hAnsiTheme="minorHAnsi" w:eastAsiaTheme="minorEastAsia" w:cstheme="minorBidi"/>
      <w:sz w:val="21"/>
      <w:szCs w:val="22"/>
    </w:rPr>
  </w:style>
  <w:style w:type="paragraph" w:styleId="21">
    <w:name w:val="toc 2"/>
    <w:basedOn w:val="1"/>
    <w:next w:val="1"/>
    <w:qFormat/>
    <w:uiPriority w:val="39"/>
    <w:pPr>
      <w:ind w:left="420" w:leftChars="200"/>
    </w:pPr>
  </w:style>
  <w:style w:type="paragraph" w:styleId="22">
    <w:name w:val="toc 9"/>
    <w:basedOn w:val="1"/>
    <w:next w:val="1"/>
    <w:unhideWhenUsed/>
    <w:qFormat/>
    <w:uiPriority w:val="39"/>
    <w:pPr>
      <w:adjustRightInd/>
      <w:snapToGrid/>
      <w:spacing w:line="240" w:lineRule="auto"/>
      <w:ind w:left="3360" w:leftChars="1600" w:firstLine="0" w:firstLineChars="0"/>
    </w:pPr>
    <w:rPr>
      <w:rFonts w:asciiTheme="minorHAnsi" w:hAnsiTheme="minorHAnsi" w:eastAsiaTheme="minorEastAsia" w:cstheme="minorBidi"/>
      <w:sz w:val="21"/>
      <w:szCs w:val="22"/>
    </w:rPr>
  </w:style>
  <w:style w:type="paragraph" w:styleId="23">
    <w:name w:val="HTML Preformatted"/>
    <w:basedOn w:val="1"/>
    <w:link w:val="6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cs="宋体"/>
      <w:kern w:val="0"/>
      <w:sz w:val="24"/>
    </w:rPr>
  </w:style>
  <w:style w:type="paragraph" w:styleId="24">
    <w:name w:val="Normal (Web)"/>
    <w:basedOn w:val="1"/>
    <w:qFormat/>
    <w:uiPriority w:val="99"/>
    <w:pPr>
      <w:jc w:val="left"/>
    </w:pPr>
    <w:rPr>
      <w:kern w:val="0"/>
      <w:sz w:val="24"/>
    </w:rPr>
  </w:style>
  <w:style w:type="paragraph" w:styleId="25">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paragraph" w:styleId="26">
    <w:name w:val="annotation subject"/>
    <w:basedOn w:val="9"/>
    <w:next w:val="9"/>
    <w:link w:val="49"/>
    <w:qFormat/>
    <w:uiPriority w:val="0"/>
    <w:rPr>
      <w:b/>
      <w:bCs/>
    </w:rPr>
  </w:style>
  <w:style w:type="paragraph" w:styleId="27">
    <w:name w:val="Body Text First Indent"/>
    <w:basedOn w:val="10"/>
    <w:link w:val="50"/>
    <w:unhideWhenUsed/>
    <w:qFormat/>
    <w:uiPriority w:val="99"/>
    <w:pPr>
      <w:spacing w:after="0"/>
      <w:ind w:firstLine="480"/>
    </w:pPr>
    <w:rPr>
      <w:bCs/>
      <w:color w:val="000000"/>
      <w:sz w:val="24"/>
      <w:lang w:bidi="zh-CN"/>
    </w:rPr>
  </w:style>
  <w:style w:type="table" w:styleId="29">
    <w:name w:val="Table Grid"/>
    <w:basedOn w:val="2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Hyperlink"/>
    <w:unhideWhenUsed/>
    <w:qFormat/>
    <w:uiPriority w:val="99"/>
    <w:rPr>
      <w:rFonts w:ascii="Times New Roman" w:hAnsi="Times New Roman" w:eastAsia="宋体" w:cs="Times New Roman"/>
      <w:color w:val="0000FF"/>
      <w:u w:val="single"/>
    </w:rPr>
  </w:style>
  <w:style w:type="character" w:styleId="33">
    <w:name w:val="annotation reference"/>
    <w:qFormat/>
    <w:uiPriority w:val="0"/>
    <w:rPr>
      <w:sz w:val="21"/>
      <w:szCs w:val="21"/>
    </w:rPr>
  </w:style>
  <w:style w:type="character" w:styleId="34">
    <w:name w:val="footnote reference"/>
    <w:basedOn w:val="30"/>
    <w:semiHidden/>
    <w:unhideWhenUsed/>
    <w:qFormat/>
    <w:uiPriority w:val="99"/>
    <w:rPr>
      <w:vertAlign w:val="superscript"/>
    </w:rPr>
  </w:style>
  <w:style w:type="character" w:customStyle="1" w:styleId="35">
    <w:name w:val="页眉 字符"/>
    <w:basedOn w:val="30"/>
    <w:link w:val="16"/>
    <w:qFormat/>
    <w:uiPriority w:val="99"/>
    <w:rPr>
      <w:rFonts w:ascii="Times New Roman" w:hAnsi="Times New Roman" w:eastAsia="宋体" w:cs="Times New Roman"/>
      <w:sz w:val="18"/>
      <w:szCs w:val="18"/>
    </w:rPr>
  </w:style>
  <w:style w:type="character" w:customStyle="1" w:styleId="36">
    <w:name w:val="页脚 字符"/>
    <w:basedOn w:val="30"/>
    <w:link w:val="15"/>
    <w:qFormat/>
    <w:uiPriority w:val="99"/>
    <w:rPr>
      <w:sz w:val="18"/>
      <w:szCs w:val="18"/>
    </w:rPr>
  </w:style>
  <w:style w:type="character" w:customStyle="1" w:styleId="37">
    <w:name w:val="标题 1 字符"/>
    <w:basedOn w:val="30"/>
    <w:link w:val="2"/>
    <w:qFormat/>
    <w:uiPriority w:val="9"/>
    <w:rPr>
      <w:rFonts w:ascii="Times New Roman" w:hAnsi="Times New Roman" w:eastAsia="宋体" w:cs="Times New Roman"/>
      <w:b/>
      <w:bCs/>
      <w:kern w:val="44"/>
      <w:sz w:val="36"/>
      <w:szCs w:val="44"/>
    </w:rPr>
  </w:style>
  <w:style w:type="character" w:customStyle="1" w:styleId="38">
    <w:name w:val="标题 2 字符"/>
    <w:basedOn w:val="30"/>
    <w:link w:val="3"/>
    <w:qFormat/>
    <w:uiPriority w:val="0"/>
    <w:rPr>
      <w:rFonts w:ascii="Times New Roman" w:hAnsi="Times New Roman" w:eastAsia="宋体" w:cstheme="majorBidi"/>
      <w:b/>
      <w:bCs/>
      <w:sz w:val="32"/>
      <w:szCs w:val="32"/>
    </w:rPr>
  </w:style>
  <w:style w:type="paragraph" w:customStyle="1" w:styleId="39">
    <w:name w:val="标题3"/>
    <w:basedOn w:val="1"/>
    <w:link w:val="41"/>
    <w:qFormat/>
    <w:uiPriority w:val="0"/>
    <w:pPr>
      <w:ind w:firstLine="0" w:firstLineChars="0"/>
    </w:pPr>
    <w:rPr>
      <w:sz w:val="30"/>
    </w:rPr>
  </w:style>
  <w:style w:type="character" w:customStyle="1" w:styleId="40">
    <w:name w:val="标题 3 字符"/>
    <w:basedOn w:val="30"/>
    <w:link w:val="4"/>
    <w:qFormat/>
    <w:uiPriority w:val="0"/>
    <w:rPr>
      <w:rFonts w:ascii="Times New Roman" w:hAnsi="Times New Roman" w:eastAsia="宋体" w:cs="Times New Roman"/>
      <w:b/>
      <w:bCs/>
      <w:sz w:val="30"/>
      <w:szCs w:val="32"/>
    </w:rPr>
  </w:style>
  <w:style w:type="character" w:customStyle="1" w:styleId="41">
    <w:name w:val="标题3 字符"/>
    <w:basedOn w:val="30"/>
    <w:link w:val="39"/>
    <w:uiPriority w:val="0"/>
    <w:rPr>
      <w:rFonts w:ascii="Times New Roman" w:hAnsi="Times New Roman" w:eastAsia="宋体" w:cs="Times New Roman"/>
      <w:sz w:val="30"/>
      <w:szCs w:val="24"/>
    </w:rPr>
  </w:style>
  <w:style w:type="character" w:customStyle="1" w:styleId="42">
    <w:name w:val="标题 4 字符"/>
    <w:basedOn w:val="30"/>
    <w:link w:val="5"/>
    <w:qFormat/>
    <w:uiPriority w:val="9"/>
    <w:rPr>
      <w:rFonts w:ascii="Times New Roman" w:hAnsi="Times New Roman" w:eastAsia="宋体" w:cstheme="majorBidi"/>
      <w:b/>
      <w:bCs/>
      <w:sz w:val="28"/>
      <w:szCs w:val="28"/>
    </w:rPr>
  </w:style>
  <w:style w:type="character" w:customStyle="1" w:styleId="43">
    <w:name w:val="标题 5 字符"/>
    <w:basedOn w:val="30"/>
    <w:link w:val="6"/>
    <w:uiPriority w:val="9"/>
    <w:rPr>
      <w:rFonts w:ascii="Times New Roman" w:hAnsi="Times New Roman" w:eastAsia="宋体" w:cs="Times New Roman"/>
      <w:b/>
      <w:bCs/>
      <w:sz w:val="28"/>
      <w:szCs w:val="28"/>
    </w:rPr>
  </w:style>
  <w:style w:type="character" w:customStyle="1" w:styleId="44">
    <w:name w:val="脚注文本 字符"/>
    <w:basedOn w:val="30"/>
    <w:link w:val="19"/>
    <w:semiHidden/>
    <w:qFormat/>
    <w:uiPriority w:val="99"/>
    <w:rPr>
      <w:rFonts w:ascii="仿宋" w:hAnsi="仿宋" w:eastAsia="仿宋_GB2312"/>
      <w:sz w:val="18"/>
      <w:szCs w:val="18"/>
    </w:rPr>
  </w:style>
  <w:style w:type="character" w:customStyle="1" w:styleId="45">
    <w:name w:val="批注文字 字符"/>
    <w:basedOn w:val="30"/>
    <w:link w:val="9"/>
    <w:qFormat/>
    <w:uiPriority w:val="0"/>
    <w:rPr>
      <w:rFonts w:ascii="Times New Roman" w:hAnsi="Times New Roman" w:eastAsia="宋体" w:cs="Times New Roman"/>
      <w:sz w:val="28"/>
      <w:szCs w:val="24"/>
    </w:rPr>
  </w:style>
  <w:style w:type="character" w:customStyle="1" w:styleId="46">
    <w:name w:val="正文文本 字符"/>
    <w:basedOn w:val="30"/>
    <w:link w:val="10"/>
    <w:qFormat/>
    <w:uiPriority w:val="99"/>
    <w:rPr>
      <w:rFonts w:ascii="Times New Roman" w:hAnsi="Times New Roman" w:eastAsia="宋体" w:cs="Times New Roman"/>
      <w:sz w:val="28"/>
      <w:szCs w:val="24"/>
    </w:rPr>
  </w:style>
  <w:style w:type="character" w:customStyle="1" w:styleId="47">
    <w:name w:val="日期 字符"/>
    <w:basedOn w:val="30"/>
    <w:link w:val="14"/>
    <w:qFormat/>
    <w:uiPriority w:val="0"/>
    <w:rPr>
      <w:rFonts w:ascii="Times New Roman" w:hAnsi="Times New Roman" w:eastAsia="宋体" w:cs="Times New Roman"/>
      <w:sz w:val="28"/>
      <w:szCs w:val="24"/>
    </w:rPr>
  </w:style>
  <w:style w:type="character" w:customStyle="1" w:styleId="48">
    <w:name w:val="标题 字符"/>
    <w:basedOn w:val="30"/>
    <w:link w:val="25"/>
    <w:qFormat/>
    <w:uiPriority w:val="0"/>
    <w:rPr>
      <w:rFonts w:asciiTheme="majorHAnsi" w:hAnsiTheme="majorHAnsi" w:eastAsiaTheme="majorEastAsia" w:cstheme="majorBidi"/>
      <w:b/>
      <w:bCs/>
      <w:sz w:val="32"/>
      <w:szCs w:val="32"/>
    </w:rPr>
  </w:style>
  <w:style w:type="character" w:customStyle="1" w:styleId="49">
    <w:name w:val="批注主题 字符"/>
    <w:basedOn w:val="45"/>
    <w:link w:val="26"/>
    <w:qFormat/>
    <w:uiPriority w:val="0"/>
    <w:rPr>
      <w:rFonts w:ascii="Times New Roman" w:hAnsi="Times New Roman" w:eastAsia="宋体" w:cs="Times New Roman"/>
      <w:b/>
      <w:bCs/>
      <w:sz w:val="28"/>
      <w:szCs w:val="24"/>
    </w:rPr>
  </w:style>
  <w:style w:type="character" w:customStyle="1" w:styleId="50">
    <w:name w:val="正文文本首行缩进 字符"/>
    <w:basedOn w:val="46"/>
    <w:link w:val="27"/>
    <w:qFormat/>
    <w:uiPriority w:val="99"/>
    <w:rPr>
      <w:rFonts w:ascii="Times New Roman" w:hAnsi="Times New Roman" w:eastAsia="宋体" w:cs="Times New Roman"/>
      <w:bCs/>
      <w:color w:val="000000"/>
      <w:sz w:val="24"/>
      <w:szCs w:val="24"/>
      <w:lang w:bidi="zh-CN"/>
    </w:rPr>
  </w:style>
  <w:style w:type="paragraph" w:styleId="51">
    <w:name w:val="List Paragraph"/>
    <w:basedOn w:val="1"/>
    <w:link w:val="114"/>
    <w:qFormat/>
    <w:uiPriority w:val="34"/>
    <w:pPr>
      <w:ind w:firstLine="420"/>
    </w:pPr>
    <w:rPr>
      <w:rFonts w:ascii="Calibri" w:hAnsi="Calibri"/>
    </w:rPr>
  </w:style>
  <w:style w:type="paragraph" w:customStyle="1" w:styleId="52">
    <w:name w:val="Default"/>
    <w:qFormat/>
    <w:uiPriority w:val="0"/>
    <w:pPr>
      <w:widowControl w:val="0"/>
      <w:autoSpaceDE w:val="0"/>
      <w:autoSpaceDN w:val="0"/>
      <w:adjustRightInd w:val="0"/>
    </w:pPr>
    <w:rPr>
      <w:rFonts w:ascii="方正小标宋简体" w:hAnsi="方正小标宋简体" w:eastAsia="宋体" w:cs="方正小标宋简体"/>
      <w:color w:val="000000"/>
      <w:kern w:val="0"/>
      <w:sz w:val="24"/>
      <w:szCs w:val="24"/>
      <w:lang w:val="en-US" w:eastAsia="zh-CN" w:bidi="ar-SA"/>
    </w:rPr>
  </w:style>
  <w:style w:type="paragraph" w:customStyle="1" w:styleId="53">
    <w:name w:val="TOC 标题1"/>
    <w:basedOn w:val="2"/>
    <w:next w:val="1"/>
    <w:unhideWhenUsed/>
    <w:qFormat/>
    <w:uiPriority w:val="39"/>
    <w:pPr>
      <w:widowControl/>
      <w:spacing w:before="480" w:line="276" w:lineRule="auto"/>
      <w:jc w:val="left"/>
      <w:outlineLvl w:val="9"/>
    </w:pPr>
    <w:rPr>
      <w:rFonts w:ascii="Cambria" w:hAnsi="Cambria"/>
      <w:color w:val="365F91"/>
      <w:kern w:val="0"/>
      <w:sz w:val="28"/>
      <w:szCs w:val="28"/>
    </w:rPr>
  </w:style>
  <w:style w:type="paragraph" w:customStyle="1" w:styleId="54">
    <w:name w:val="表格文字"/>
    <w:qFormat/>
    <w:uiPriority w:val="0"/>
    <w:pPr>
      <w:adjustRightInd w:val="0"/>
      <w:snapToGrid w:val="0"/>
      <w:jc w:val="center"/>
    </w:pPr>
    <w:rPr>
      <w:rFonts w:ascii="Times" w:hAnsi="Times" w:eastAsia="华文仿宋" w:cs="黑体"/>
      <w:kern w:val="2"/>
      <w:sz w:val="21"/>
      <w:szCs w:val="22"/>
      <w:lang w:val="en-US" w:eastAsia="zh-CN" w:bidi="ar-SA"/>
    </w:rPr>
  </w:style>
  <w:style w:type="table" w:customStyle="1" w:styleId="55">
    <w:name w:val="网格型134"/>
    <w:basedOn w:val="28"/>
    <w:qFormat/>
    <w:uiPriority w:val="39"/>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表格内容"/>
    <w:basedOn w:val="1"/>
    <w:link w:val="75"/>
    <w:qFormat/>
    <w:uiPriority w:val="0"/>
    <w:pPr>
      <w:jc w:val="center"/>
    </w:pPr>
    <w:rPr>
      <w:szCs w:val="21"/>
    </w:rPr>
  </w:style>
  <w:style w:type="paragraph" w:customStyle="1" w:styleId="57">
    <w:name w:val="图表题"/>
    <w:basedOn w:val="1"/>
    <w:qFormat/>
    <w:uiPriority w:val="0"/>
    <w:pPr>
      <w:jc w:val="center"/>
    </w:pPr>
    <w:rPr>
      <w:rFonts w:eastAsia="黑体"/>
      <w:sz w:val="24"/>
      <w:szCs w:val="20"/>
    </w:rPr>
  </w:style>
  <w:style w:type="paragraph" w:customStyle="1" w:styleId="5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59">
    <w:name w:val="TOC 标题2"/>
    <w:basedOn w:val="2"/>
    <w:next w:val="1"/>
    <w:unhideWhenUsed/>
    <w:qFormat/>
    <w:uiPriority w:val="39"/>
    <w:pPr>
      <w:widowControl/>
      <w:spacing w:before="240" w:line="259" w:lineRule="auto"/>
      <w:jc w:val="left"/>
      <w:outlineLvl w:val="9"/>
    </w:pPr>
    <w:rPr>
      <w:rFonts w:ascii="等线 Light" w:hAnsi="等线 Light" w:eastAsia="等线 Light"/>
      <w:b w:val="0"/>
      <w:bCs w:val="0"/>
      <w:color w:val="2F5496"/>
      <w:kern w:val="0"/>
      <w:sz w:val="32"/>
      <w:szCs w:val="32"/>
    </w:rPr>
  </w:style>
  <w:style w:type="paragraph" w:styleId="60">
    <w:name w:val="No Spacing"/>
    <w:qFormat/>
    <w:uiPriority w:val="1"/>
    <w:pPr>
      <w:widowControl w:val="0"/>
      <w:adjustRightInd w:val="0"/>
      <w:snapToGrid w:val="0"/>
      <w:spacing w:line="360" w:lineRule="auto"/>
      <w:jc w:val="center"/>
    </w:pPr>
    <w:rPr>
      <w:rFonts w:ascii="Times" w:hAnsi="Times" w:eastAsia="宋体" w:cs="Times New Roman"/>
      <w:b/>
      <w:kern w:val="2"/>
      <w:sz w:val="24"/>
      <w:szCs w:val="22"/>
      <w:lang w:val="en-US" w:eastAsia="zh-CN" w:bidi="ar-SA"/>
    </w:rPr>
  </w:style>
  <w:style w:type="paragraph" w:customStyle="1" w:styleId="61">
    <w:name w:val="表格文字2"/>
    <w:basedOn w:val="1"/>
    <w:uiPriority w:val="0"/>
    <w:pPr>
      <w:tabs>
        <w:tab w:val="left" w:pos="277"/>
        <w:tab w:val="left" w:pos="600"/>
        <w:tab w:val="left" w:pos="780"/>
        <w:tab w:val="left" w:pos="2517"/>
      </w:tabs>
      <w:spacing w:after="50"/>
      <w:jc w:val="center"/>
      <w:textAlignment w:val="baseline"/>
    </w:pPr>
    <w:rPr>
      <w:rFonts w:cs="宋体"/>
      <w:kern w:val="0"/>
    </w:rPr>
  </w:style>
  <w:style w:type="paragraph" w:customStyle="1" w:styleId="62">
    <w:name w:val="标题2"/>
    <w:basedOn w:val="3"/>
    <w:link w:val="63"/>
    <w:uiPriority w:val="0"/>
    <w:pPr>
      <w:spacing w:before="100" w:after="40" w:line="480" w:lineRule="auto"/>
    </w:pPr>
  </w:style>
  <w:style w:type="character" w:customStyle="1" w:styleId="63">
    <w:name w:val="标题2 字符"/>
    <w:basedOn w:val="38"/>
    <w:link w:val="62"/>
    <w:qFormat/>
    <w:uiPriority w:val="0"/>
    <w:rPr>
      <w:rFonts w:ascii="Times New Roman" w:hAnsi="Times New Roman" w:eastAsia="宋体" w:cstheme="majorBidi"/>
      <w:sz w:val="32"/>
      <w:szCs w:val="32"/>
    </w:rPr>
  </w:style>
  <w:style w:type="paragraph" w:customStyle="1" w:styleId="64">
    <w:name w:val="p"/>
    <w:basedOn w:val="1"/>
    <w:uiPriority w:val="0"/>
    <w:pPr>
      <w:widowControl/>
      <w:adjustRightInd/>
      <w:snapToGrid/>
      <w:spacing w:before="100" w:beforeAutospacing="1" w:after="100" w:afterAutospacing="1" w:line="240" w:lineRule="auto"/>
      <w:ind w:firstLine="0" w:firstLineChars="0"/>
      <w:jc w:val="left"/>
    </w:pPr>
    <w:rPr>
      <w:rFonts w:ascii="宋体" w:hAnsi="宋体" w:cs="宋体"/>
      <w:kern w:val="0"/>
      <w:sz w:val="24"/>
    </w:rPr>
  </w:style>
  <w:style w:type="character" w:customStyle="1" w:styleId="65">
    <w:name w:val="不明显参考1"/>
    <w:basedOn w:val="3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6">
    <w:name w:val="未处理的提及1"/>
    <w:basedOn w:val="30"/>
    <w:semiHidden/>
    <w:unhideWhenUsed/>
    <w:qFormat/>
    <w:uiPriority w:val="99"/>
    <w:rPr>
      <w:color w:val="605E5C"/>
      <w:shd w:val="clear" w:color="auto" w:fill="E1DFDD"/>
    </w:rPr>
  </w:style>
  <w:style w:type="paragraph" w:customStyle="1" w:styleId="67">
    <w:name w:val="修订2"/>
    <w:hidden/>
    <w:semiHidden/>
    <w:qFormat/>
    <w:uiPriority w:val="99"/>
    <w:rPr>
      <w:rFonts w:ascii="Times New Roman" w:hAnsi="Times New Roman" w:eastAsia="宋体" w:cs="Times New Roman"/>
      <w:kern w:val="2"/>
      <w:sz w:val="28"/>
      <w:szCs w:val="24"/>
      <w:lang w:val="en-US" w:eastAsia="zh-CN" w:bidi="ar-SA"/>
    </w:rPr>
  </w:style>
  <w:style w:type="character" w:customStyle="1" w:styleId="68">
    <w:name w:val="未处理的提及2"/>
    <w:basedOn w:val="30"/>
    <w:semiHidden/>
    <w:unhideWhenUsed/>
    <w:qFormat/>
    <w:uiPriority w:val="99"/>
    <w:rPr>
      <w:color w:val="605E5C"/>
      <w:shd w:val="clear" w:color="auto" w:fill="E1DFDD"/>
    </w:rPr>
  </w:style>
  <w:style w:type="character" w:customStyle="1" w:styleId="69">
    <w:name w:val="HTML 预设格式 字符"/>
    <w:basedOn w:val="30"/>
    <w:link w:val="23"/>
    <w:semiHidden/>
    <w:uiPriority w:val="99"/>
    <w:rPr>
      <w:rFonts w:ascii="宋体" w:hAnsi="宋体" w:eastAsia="宋体" w:cs="宋体"/>
      <w:kern w:val="0"/>
      <w:sz w:val="24"/>
      <w:szCs w:val="24"/>
    </w:rPr>
  </w:style>
  <w:style w:type="paragraph" w:customStyle="1" w:styleId="70">
    <w:name w:val="TOC Heading"/>
    <w:basedOn w:val="2"/>
    <w:next w:val="1"/>
    <w:unhideWhenUsed/>
    <w:qFormat/>
    <w:uiPriority w:val="39"/>
    <w:pPr>
      <w:widowControl/>
      <w:adjustRightInd/>
      <w:snapToGrid/>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71">
    <w:name w:val="二级标题"/>
    <w:basedOn w:val="1"/>
    <w:link w:val="72"/>
    <w:uiPriority w:val="0"/>
    <w:pPr>
      <w:jc w:val="left"/>
      <w:outlineLvl w:val="1"/>
    </w:pPr>
    <w:rPr>
      <w:b/>
      <w:sz w:val="32"/>
    </w:rPr>
  </w:style>
  <w:style w:type="character" w:customStyle="1" w:styleId="72">
    <w:name w:val="二级标题 Char"/>
    <w:link w:val="71"/>
    <w:qFormat/>
    <w:uiPriority w:val="0"/>
    <w:rPr>
      <w:rFonts w:ascii="Times New Roman" w:hAnsi="Times New Roman" w:eastAsia="宋体" w:cs="Times New Roman"/>
      <w:b/>
      <w:sz w:val="32"/>
      <w:szCs w:val="24"/>
    </w:rPr>
  </w:style>
  <w:style w:type="paragraph" w:customStyle="1" w:styleId="73">
    <w:name w:val="一级标题"/>
    <w:basedOn w:val="1"/>
    <w:link w:val="74"/>
    <w:uiPriority w:val="0"/>
    <w:pPr>
      <w:jc w:val="center"/>
      <w:outlineLvl w:val="0"/>
    </w:pPr>
    <w:rPr>
      <w:b/>
      <w:sz w:val="36"/>
    </w:rPr>
  </w:style>
  <w:style w:type="character" w:customStyle="1" w:styleId="74">
    <w:name w:val="一级标题 Char"/>
    <w:link w:val="73"/>
    <w:qFormat/>
    <w:uiPriority w:val="0"/>
    <w:rPr>
      <w:rFonts w:ascii="Times New Roman" w:hAnsi="Times New Roman" w:eastAsia="宋体" w:cs="Times New Roman"/>
      <w:b/>
      <w:sz w:val="36"/>
      <w:szCs w:val="24"/>
    </w:rPr>
  </w:style>
  <w:style w:type="character" w:customStyle="1" w:styleId="75">
    <w:name w:val="表格内容 Char"/>
    <w:link w:val="56"/>
    <w:qFormat/>
    <w:uiPriority w:val="0"/>
    <w:rPr>
      <w:rFonts w:ascii="Times New Roman" w:hAnsi="Times New Roman" w:eastAsia="宋体" w:cs="Times New Roman"/>
      <w:sz w:val="28"/>
      <w:szCs w:val="21"/>
    </w:rPr>
  </w:style>
  <w:style w:type="paragraph" w:customStyle="1" w:styleId="76">
    <w:name w:val="图表头"/>
    <w:basedOn w:val="1"/>
    <w:link w:val="77"/>
    <w:uiPriority w:val="0"/>
    <w:pPr>
      <w:spacing w:before="50" w:beforeLines="50" w:after="50" w:afterLines="50" w:line="240" w:lineRule="auto"/>
      <w:ind w:firstLine="0" w:firstLineChars="0"/>
      <w:jc w:val="center"/>
    </w:pPr>
    <w:rPr>
      <w:rFonts w:eastAsia="黑体" w:cstheme="minorBidi"/>
      <w:sz w:val="21"/>
      <w:szCs w:val="21"/>
    </w:rPr>
  </w:style>
  <w:style w:type="character" w:customStyle="1" w:styleId="77">
    <w:name w:val="图表头 字符"/>
    <w:basedOn w:val="30"/>
    <w:link w:val="76"/>
    <w:qFormat/>
    <w:uiPriority w:val="0"/>
    <w:rPr>
      <w:rFonts w:ascii="Times New Roman" w:hAnsi="Times New Roman" w:eastAsia="黑体"/>
      <w:szCs w:val="21"/>
    </w:rPr>
  </w:style>
  <w:style w:type="paragraph" w:customStyle="1" w:styleId="78">
    <w:name w:val="图题表题"/>
    <w:qFormat/>
    <w:uiPriority w:val="0"/>
    <w:pPr>
      <w:widowControl w:val="0"/>
      <w:adjustRightInd w:val="0"/>
      <w:spacing w:after="156" w:line="360" w:lineRule="atLeast"/>
      <w:jc w:val="center"/>
      <w:textAlignment w:val="baseline"/>
    </w:pPr>
    <w:rPr>
      <w:rFonts w:ascii="Times New Roman" w:hAnsi="Times New Roman" w:eastAsia="黑体" w:cs="Times New Roman"/>
      <w:b/>
      <w:kern w:val="2"/>
      <w:sz w:val="21"/>
      <w:szCs w:val="22"/>
      <w:lang w:val="en-US" w:eastAsia="zh-CN" w:bidi="ar-SA"/>
    </w:rPr>
  </w:style>
  <w:style w:type="character" w:styleId="79">
    <w:name w:val="Placeholder Text"/>
    <w:basedOn w:val="30"/>
    <w:semiHidden/>
    <w:qFormat/>
    <w:uiPriority w:val="99"/>
    <w:rPr>
      <w:color w:val="808080"/>
    </w:rPr>
  </w:style>
  <w:style w:type="paragraph" w:customStyle="1" w:styleId="80">
    <w:name w:val="标准文字"/>
    <w:basedOn w:val="1"/>
    <w:link w:val="81"/>
    <w:qFormat/>
    <w:uiPriority w:val="99"/>
    <w:pPr>
      <w:overflowPunct w:val="0"/>
      <w:adjustRightInd/>
      <w:snapToGrid/>
      <w:ind w:firstLine="640"/>
    </w:pPr>
    <w:rPr>
      <w:rFonts w:eastAsia="仿宋_GB2312"/>
      <w:sz w:val="30"/>
      <w:szCs w:val="30"/>
    </w:rPr>
  </w:style>
  <w:style w:type="character" w:customStyle="1" w:styleId="81">
    <w:name w:val="标准文字 Char"/>
    <w:link w:val="80"/>
    <w:qFormat/>
    <w:locked/>
    <w:uiPriority w:val="99"/>
    <w:rPr>
      <w:rFonts w:ascii="Times New Roman" w:hAnsi="Times New Roman" w:eastAsia="仿宋_GB2312" w:cs="Times New Roman"/>
      <w:sz w:val="30"/>
      <w:szCs w:val="30"/>
    </w:rPr>
  </w:style>
  <w:style w:type="table" w:customStyle="1" w:styleId="82">
    <w:name w:val="网格型9"/>
    <w:basedOn w:val="2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
    <w:basedOn w:val="2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81"/>
    <w:basedOn w:val="2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11"/>
    <w:basedOn w:val="2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6"/>
    <w:basedOn w:val="2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NormalCharacter"/>
    <w:uiPriority w:val="0"/>
    <w:rPr>
      <w:rFonts w:ascii="Times New Roman" w:hAnsi="Times New Roman" w:eastAsia="华文仿宋" w:cs="Times New Roman"/>
      <w:kern w:val="2"/>
      <w:sz w:val="28"/>
      <w:szCs w:val="24"/>
      <w:lang w:val="en-US" w:eastAsia="zh-CN" w:bidi="ar-SA"/>
    </w:rPr>
  </w:style>
  <w:style w:type="paragraph" w:customStyle="1" w:styleId="88">
    <w:name w:val="表名"/>
    <w:basedOn w:val="1"/>
    <w:qFormat/>
    <w:uiPriority w:val="0"/>
    <w:pPr>
      <w:widowControl/>
      <w:snapToGrid/>
      <w:ind w:firstLine="0" w:firstLineChars="0"/>
      <w:jc w:val="center"/>
    </w:pPr>
    <w:rPr>
      <w:rFonts w:eastAsia="仿宋"/>
      <w:b/>
      <w:sz w:val="24"/>
      <w:szCs w:val="21"/>
    </w:rPr>
  </w:style>
  <w:style w:type="paragraph" w:customStyle="1" w:styleId="89">
    <w:name w:val="表中文字"/>
    <w:basedOn w:val="1"/>
    <w:link w:val="90"/>
    <w:uiPriority w:val="0"/>
    <w:pPr>
      <w:widowControl/>
      <w:adjustRightInd/>
      <w:snapToGrid/>
      <w:spacing w:line="240" w:lineRule="auto"/>
      <w:ind w:firstLine="0" w:firstLineChars="0"/>
      <w:jc w:val="center"/>
    </w:pPr>
    <w:rPr>
      <w:rFonts w:eastAsia="仿宋"/>
      <w:color w:val="000000" w:themeColor="text1"/>
      <w:kern w:val="0"/>
      <w:sz w:val="24"/>
      <w:szCs w:val="21"/>
      <w14:textFill>
        <w14:solidFill>
          <w14:schemeClr w14:val="tx1"/>
        </w14:solidFill>
      </w14:textFill>
    </w:rPr>
  </w:style>
  <w:style w:type="character" w:customStyle="1" w:styleId="90">
    <w:name w:val="表中文字 Char"/>
    <w:link w:val="89"/>
    <w:qFormat/>
    <w:uiPriority w:val="0"/>
    <w:rPr>
      <w:rFonts w:ascii="Times New Roman" w:hAnsi="Times New Roman" w:eastAsia="仿宋" w:cs="Times New Roman"/>
      <w:color w:val="000000" w:themeColor="text1"/>
      <w:kern w:val="0"/>
      <w:sz w:val="24"/>
      <w:szCs w:val="21"/>
      <w14:textFill>
        <w14:solidFill>
          <w14:schemeClr w14:val="tx1"/>
        </w14:solidFill>
      </w14:textFill>
    </w:rPr>
  </w:style>
  <w:style w:type="paragraph" w:customStyle="1" w:styleId="91">
    <w:name w:val="图名"/>
    <w:basedOn w:val="1"/>
    <w:link w:val="92"/>
    <w:uiPriority w:val="0"/>
    <w:pPr>
      <w:widowControl/>
      <w:adjustRightInd/>
      <w:snapToGrid/>
      <w:ind w:firstLine="0" w:firstLineChars="0"/>
      <w:jc w:val="center"/>
    </w:pPr>
    <w:rPr>
      <w:rFonts w:eastAsia="仿宋"/>
      <w:b/>
      <w:kern w:val="0"/>
      <w:sz w:val="24"/>
      <w:szCs w:val="21"/>
    </w:rPr>
  </w:style>
  <w:style w:type="character" w:customStyle="1" w:styleId="92">
    <w:name w:val="图名 字符"/>
    <w:basedOn w:val="30"/>
    <w:link w:val="91"/>
    <w:qFormat/>
    <w:uiPriority w:val="0"/>
    <w:rPr>
      <w:rFonts w:ascii="Times New Roman" w:hAnsi="Times New Roman" w:eastAsia="仿宋" w:cs="Times New Roman"/>
      <w:b/>
      <w:kern w:val="0"/>
      <w:sz w:val="24"/>
      <w:szCs w:val="21"/>
    </w:rPr>
  </w:style>
  <w:style w:type="paragraph" w:customStyle="1" w:styleId="93">
    <w:name w:val="图"/>
    <w:basedOn w:val="8"/>
    <w:link w:val="94"/>
    <w:uiPriority w:val="0"/>
    <w:pPr>
      <w:keepLines/>
      <w:adjustRightInd/>
      <w:snapToGrid/>
      <w:ind w:firstLine="0" w:firstLineChars="0"/>
      <w:jc w:val="center"/>
    </w:pPr>
    <w:rPr>
      <w:sz w:val="24"/>
    </w:rPr>
  </w:style>
  <w:style w:type="character" w:customStyle="1" w:styleId="94">
    <w:name w:val="图 Char"/>
    <w:basedOn w:val="30"/>
    <w:link w:val="93"/>
    <w:qFormat/>
    <w:uiPriority w:val="0"/>
    <w:rPr>
      <w:rFonts w:eastAsia="黑体" w:asciiTheme="majorHAnsi" w:hAnsiTheme="majorHAnsi" w:cstheme="majorBidi"/>
      <w:sz w:val="24"/>
      <w:szCs w:val="20"/>
    </w:rPr>
  </w:style>
  <w:style w:type="character" w:customStyle="1" w:styleId="95">
    <w:name w:val="fontstyle01"/>
    <w:basedOn w:val="30"/>
    <w:uiPriority w:val="0"/>
    <w:rPr>
      <w:rFonts w:ascii="黑体" w:hAnsi="宋体" w:eastAsia="黑体" w:cs="黑体"/>
      <w:color w:val="000000"/>
      <w:sz w:val="52"/>
      <w:szCs w:val="52"/>
    </w:rPr>
  </w:style>
  <w:style w:type="paragraph" w:customStyle="1" w:styleId="96">
    <w:name w:val="Revision"/>
    <w:hidden/>
    <w:semiHidden/>
    <w:uiPriority w:val="99"/>
    <w:rPr>
      <w:rFonts w:ascii="Times New Roman" w:hAnsi="Times New Roman" w:eastAsia="宋体" w:cstheme="minorBidi"/>
      <w:kern w:val="2"/>
      <w:sz w:val="24"/>
      <w:szCs w:val="22"/>
      <w:lang w:val="en-US" w:eastAsia="zh-CN" w:bidi="ar-SA"/>
    </w:rPr>
  </w:style>
  <w:style w:type="character" w:customStyle="1" w:styleId="97">
    <w:name w:val="Unresolved Mention"/>
    <w:basedOn w:val="30"/>
    <w:semiHidden/>
    <w:unhideWhenUsed/>
    <w:uiPriority w:val="99"/>
    <w:rPr>
      <w:color w:val="605E5C"/>
      <w:shd w:val="clear" w:color="auto" w:fill="E1DFDD"/>
    </w:rPr>
  </w:style>
  <w:style w:type="table" w:customStyle="1" w:styleId="98">
    <w:name w:val="网格型2"/>
    <w:basedOn w:val="28"/>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网格型91"/>
    <w:basedOn w:val="2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12"/>
    <w:basedOn w:val="2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811"/>
    <w:basedOn w:val="2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111"/>
    <w:basedOn w:val="2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网格型61"/>
    <w:basedOn w:val="2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网格型3"/>
    <w:basedOn w:val="28"/>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
    <w:name w:val="网格型92"/>
    <w:basedOn w:val="2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型13"/>
    <w:basedOn w:val="2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
    <w:name w:val="网格型812"/>
    <w:basedOn w:val="2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112"/>
    <w:basedOn w:val="2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62"/>
    <w:basedOn w:val="2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TOC 标题3"/>
    <w:basedOn w:val="2"/>
    <w:next w:val="1"/>
    <w:unhideWhenUsed/>
    <w:qFormat/>
    <w:uiPriority w:val="39"/>
    <w:pPr>
      <w:widowControl/>
      <w:adjustRightInd/>
      <w:snapToGrid/>
      <w:spacing w:before="240" w:line="259" w:lineRule="auto"/>
      <w:jc w:val="left"/>
      <w:outlineLvl w:val="9"/>
    </w:pPr>
    <w:rPr>
      <w:rFonts w:ascii="等线 Light" w:hAnsi="等线 Light" w:eastAsia="等线 Light"/>
      <w:b w:val="0"/>
      <w:bCs w:val="0"/>
      <w:color w:val="2F5496"/>
      <w:kern w:val="0"/>
      <w:sz w:val="32"/>
      <w:szCs w:val="32"/>
    </w:rPr>
  </w:style>
  <w:style w:type="character" w:customStyle="1" w:styleId="111">
    <w:name w:val="批注文字 字符1"/>
    <w:basedOn w:val="30"/>
    <w:qFormat/>
    <w:uiPriority w:val="0"/>
    <w:rPr>
      <w:rFonts w:cstheme="minorBidi"/>
      <w:kern w:val="2"/>
      <w:sz w:val="24"/>
      <w:szCs w:val="22"/>
    </w:rPr>
  </w:style>
  <w:style w:type="paragraph" w:customStyle="1" w:styleId="112">
    <w:name w:val="表格"/>
    <w:basedOn w:val="1"/>
    <w:link w:val="113"/>
    <w:qFormat/>
    <w:uiPriority w:val="0"/>
    <w:pPr>
      <w:spacing w:line="240" w:lineRule="auto"/>
      <w:ind w:firstLine="0" w:firstLineChars="0"/>
      <w:jc w:val="center"/>
    </w:pPr>
    <w:rPr>
      <w:rFonts w:eastAsia="华文宋体" w:cstheme="minorBidi"/>
      <w:sz w:val="24"/>
      <w:szCs w:val="22"/>
    </w:rPr>
  </w:style>
  <w:style w:type="character" w:customStyle="1" w:styleId="113">
    <w:name w:val="表格 字符"/>
    <w:basedOn w:val="30"/>
    <w:link w:val="112"/>
    <w:qFormat/>
    <w:uiPriority w:val="0"/>
    <w:rPr>
      <w:rFonts w:ascii="Times New Roman" w:hAnsi="Times New Roman" w:eastAsia="华文宋体"/>
      <w:sz w:val="24"/>
    </w:rPr>
  </w:style>
  <w:style w:type="character" w:customStyle="1" w:styleId="114">
    <w:name w:val="列表段落 字符"/>
    <w:link w:val="51"/>
    <w:qFormat/>
    <w:uiPriority w:val="34"/>
    <w:rPr>
      <w:rFonts w:ascii="Calibri" w:hAnsi="Calibri" w:eastAsia="宋体" w:cs="Times New Roman"/>
      <w:sz w:val="28"/>
      <w:szCs w:val="24"/>
    </w:rPr>
  </w:style>
  <w:style w:type="paragraph" w:customStyle="1" w:styleId="115">
    <w:name w:val="表格正文"/>
    <w:qFormat/>
    <w:uiPriority w:val="0"/>
    <w:pPr>
      <w:widowControl w:val="0"/>
      <w:adjustRightInd w:val="0"/>
      <w:snapToGrid w:val="0"/>
      <w:spacing w:line="360" w:lineRule="auto"/>
      <w:jc w:val="center"/>
      <w:textAlignment w:val="baseline"/>
    </w:pPr>
    <w:rPr>
      <w:rFonts w:ascii="Times" w:hAnsi="Times" w:eastAsia="宋体" w:cs="宋体"/>
      <w:kern w:val="0"/>
      <w:sz w:val="21"/>
      <w:szCs w:val="21"/>
      <w:lang w:val="en-US" w:eastAsia="zh-CN" w:bidi="ar-SA"/>
    </w:rPr>
  </w:style>
  <w:style w:type="paragraph" w:customStyle="1" w:styleId="116">
    <w:name w:val="western"/>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8978</Words>
  <Characters>51175</Characters>
  <Lines>426</Lines>
  <Paragraphs>120</Paragraphs>
  <TotalTime>2960</TotalTime>
  <ScaleCrop>false</ScaleCrop>
  <LinksUpToDate>false</LinksUpToDate>
  <CharactersWithSpaces>60033</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2023-11-06T19:10:00Z</dcterms:created>
  <dc:creator>Lenovo</dc:creator>
  <cp:lastModifiedBy>卢业斌</cp:lastModifiedBy>
  <cp:lastPrinted>2023-12-25T19:44:00Z</cp:lastPrinted>
  <dcterms:modified xsi:type="dcterms:W3CDTF">2024-01-17T10:56:43Z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6BFDB4F695F4EF9ED83EA765752A158A</vt:lpwstr>
  </property>
</Properties>
</file>