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bidi w:val="0"/>
        <w:adjustRightInd w:val="0"/>
        <w:snapToGrid/>
        <w:spacing w:line="560" w:lineRule="exact"/>
        <w:textAlignment w:val="auto"/>
        <w:rPr>
          <w:rFonts w:hint="eastAsia" w:ascii="仿宋_GB2312" w:hAnsi="仿宋_GB2312" w:eastAsia="仿宋_GB2312" w:cs="仿宋_GB2312"/>
          <w:color w:val="000000"/>
          <w:sz w:val="32"/>
          <w:szCs w:val="32"/>
          <w:highlight w:val="none"/>
        </w:rPr>
      </w:pPr>
    </w:p>
    <w:p>
      <w:pPr>
        <w:keepNext w:val="0"/>
        <w:keepLines w:val="0"/>
        <w:pageBreakBefore w:val="0"/>
        <w:widowControl w:val="0"/>
        <w:kinsoku/>
        <w:wordWrap/>
        <w:overflowPunct/>
        <w:topLinePunct w:val="0"/>
        <w:bidi w:val="0"/>
        <w:adjustRightInd w:val="0"/>
        <w:snapToGrid/>
        <w:spacing w:line="560" w:lineRule="exact"/>
        <w:textAlignment w:val="auto"/>
        <w:rPr>
          <w:rFonts w:hint="eastAsia"/>
          <w:color w:val="000000"/>
          <w:highlight w:val="none"/>
        </w:rPr>
      </w:pPr>
    </w:p>
    <w:p>
      <w:pPr>
        <w:pStyle w:val="5"/>
        <w:keepNext w:val="0"/>
        <w:keepLines w:val="0"/>
        <w:pageBreakBefore w:val="0"/>
        <w:widowControl w:val="0"/>
        <w:kinsoku/>
        <w:wordWrap/>
        <w:overflowPunct/>
        <w:topLinePunct w:val="0"/>
        <w:bidi w:val="0"/>
        <w:adjustRightInd w:val="0"/>
        <w:snapToGrid/>
        <w:spacing w:line="560" w:lineRule="exact"/>
        <w:textAlignment w:val="auto"/>
        <w:rPr>
          <w:rFonts w:hint="eastAsia" w:ascii="仿宋_GB2312" w:hAnsi="仿宋_GB2312" w:eastAsia="仿宋_GB2312" w:cs="仿宋_GB2312"/>
          <w:color w:val="000000"/>
          <w:sz w:val="32"/>
          <w:szCs w:val="32"/>
          <w:highlight w:val="none"/>
        </w:rPr>
      </w:pPr>
      <w:bookmarkStart w:id="1" w:name="_GoBack"/>
      <w:bookmarkEnd w:id="1"/>
    </w:p>
    <w:p>
      <w:pPr>
        <w:pStyle w:val="24"/>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eastAsia" w:ascii="仿宋_GB2312" w:hAnsi="仿宋_GB2312" w:eastAsia="仿宋_GB2312" w:cs="仿宋_GB2312"/>
          <w:color w:val="000000"/>
          <w:sz w:val="32"/>
          <w:szCs w:val="32"/>
          <w:highlight w:val="none"/>
        </w:rPr>
      </w:pPr>
    </w:p>
    <w:p>
      <w:pPr>
        <w:pStyle w:val="24"/>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eastAsia" w:ascii="仿宋_GB2312" w:hAnsi="仿宋_GB2312" w:eastAsia="仿宋_GB2312" w:cs="仿宋_GB2312"/>
          <w:color w:val="000000"/>
          <w:sz w:val="32"/>
          <w:szCs w:val="32"/>
          <w:highlight w:val="none"/>
        </w:rPr>
      </w:pPr>
    </w:p>
    <w:p>
      <w:pPr>
        <w:pStyle w:val="24"/>
        <w:keepNext w:val="0"/>
        <w:keepLines w:val="0"/>
        <w:pageBreakBefore w:val="0"/>
        <w:widowControl w:val="0"/>
        <w:kinsoku/>
        <w:wordWrap/>
        <w:overflowPunct/>
        <w:topLinePunct w:val="0"/>
        <w:autoSpaceDE w:val="0"/>
        <w:autoSpaceDN w:val="0"/>
        <w:bidi w:val="0"/>
        <w:adjustRightInd w:val="0"/>
        <w:snapToGrid/>
        <w:spacing w:line="520" w:lineRule="exact"/>
        <w:jc w:val="both"/>
        <w:textAlignment w:val="auto"/>
        <w:rPr>
          <w:rFonts w:hint="eastAsia" w:ascii="仿宋_GB2312" w:hAnsi="仿宋_GB2312" w:eastAsia="仿宋_GB2312" w:cs="仿宋_GB2312"/>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after="0" w:line="520" w:lineRule="exact"/>
        <w:ind w:right="0"/>
        <w:jc w:val="center"/>
        <w:textAlignment w:val="auto"/>
        <w:outlineLvl w:val="9"/>
        <w:rPr>
          <w:rFonts w:hint="eastAsia" w:ascii="仿宋_GB2312" w:hAnsi="仿宋_GB2312" w:eastAsia="仿宋_GB2312" w:cs="仿宋_GB2312"/>
          <w:color w:val="000000"/>
          <w:kern w:val="2"/>
          <w:sz w:val="32"/>
          <w:szCs w:val="32"/>
          <w:highlight w:val="none"/>
        </w:rPr>
      </w:pPr>
      <w:r>
        <w:rPr>
          <w:rFonts w:hint="eastAsia" w:ascii="仿宋_GB2312" w:hAnsi="仿宋_GB2312" w:eastAsia="仿宋_GB2312" w:cs="仿宋_GB2312"/>
          <w:color w:val="000000"/>
          <w:kern w:val="2"/>
          <w:sz w:val="32"/>
          <w:szCs w:val="32"/>
          <w:highlight w:val="none"/>
        </w:rPr>
        <w:t>万府办〔202</w:t>
      </w:r>
      <w:r>
        <w:rPr>
          <w:rFonts w:hint="eastAsia" w:ascii="仿宋_GB2312" w:hAnsi="仿宋_GB2312" w:eastAsia="仿宋_GB2312" w:cs="仿宋_GB2312"/>
          <w:color w:val="000000"/>
          <w:kern w:val="2"/>
          <w:sz w:val="32"/>
          <w:szCs w:val="32"/>
          <w:highlight w:val="none"/>
          <w:lang w:val="en-US" w:eastAsia="zh-CN"/>
        </w:rPr>
        <w:t>4</w:t>
      </w:r>
      <w:r>
        <w:rPr>
          <w:rFonts w:hint="eastAsia" w:ascii="仿宋_GB2312" w:hAnsi="仿宋_GB2312" w:eastAsia="仿宋_GB2312" w:cs="仿宋_GB2312"/>
          <w:color w:val="000000"/>
          <w:kern w:val="2"/>
          <w:sz w:val="32"/>
          <w:szCs w:val="32"/>
          <w:highlight w:val="none"/>
        </w:rPr>
        <w:t>〕</w:t>
      </w:r>
      <w:r>
        <w:rPr>
          <w:rFonts w:hint="eastAsia" w:ascii="仿宋_GB2312" w:hAnsi="仿宋_GB2312" w:eastAsia="仿宋_GB2312" w:cs="仿宋_GB2312"/>
          <w:color w:val="000000"/>
          <w:kern w:val="2"/>
          <w:sz w:val="32"/>
          <w:szCs w:val="32"/>
          <w:highlight w:val="none"/>
          <w:lang w:val="en-US" w:eastAsia="zh-CN"/>
        </w:rPr>
        <w:t>4</w:t>
      </w:r>
      <w:r>
        <w:rPr>
          <w:rFonts w:hint="eastAsia" w:ascii="仿宋_GB2312" w:hAnsi="仿宋_GB2312" w:eastAsia="仿宋_GB2312" w:cs="仿宋_GB2312"/>
          <w:color w:val="000000"/>
          <w:kern w:val="2"/>
          <w:sz w:val="32"/>
          <w:szCs w:val="32"/>
          <w:highlight w:val="none"/>
        </w:rPr>
        <w:t>号</w:t>
      </w: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eastAsia" w:ascii="方正小标宋_GBK" w:hAnsi="方正小标宋_GBK" w:eastAsia="方正小标宋_GBK" w:cs="方正小标宋_GBK"/>
          <w:color w:val="000000"/>
          <w:kern w:val="2"/>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eastAsia" w:ascii="方正小标宋_GBK" w:hAnsi="方正小标宋_GBK" w:eastAsia="方正小标宋_GBK" w:cs="方正小标宋_GBK"/>
          <w:color w:val="000000"/>
          <w:kern w:val="2"/>
          <w:sz w:val="44"/>
          <w:szCs w:val="44"/>
          <w:highlight w:val="none"/>
          <w:lang w:val="en-US" w:eastAsia="zh-CN"/>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万宁市人民政府</w:t>
      </w:r>
      <w:r>
        <w:rPr>
          <w:rFonts w:hint="default" w:ascii="方正小标宋_GBK" w:hAnsi="方正小标宋_GBK" w:eastAsia="方正小标宋_GBK" w:cs="方正小标宋_GBK"/>
          <w:sz w:val="44"/>
          <w:szCs w:val="44"/>
          <w:lang w:eastAsia="zh-CN"/>
        </w:rPr>
        <w:t>办公室</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关于</w:t>
      </w:r>
      <w:r>
        <w:rPr>
          <w:rFonts w:hint="default" w:ascii="方正小标宋_GBK" w:hAnsi="方正小标宋_GBK" w:eastAsia="方正小标宋_GBK" w:cs="方正小标宋_GBK"/>
          <w:sz w:val="44"/>
          <w:szCs w:val="44"/>
          <w:lang w:eastAsia="zh-CN"/>
        </w:rPr>
        <w:t>印发《万宁市农村集体经营性建设</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方正小标宋_GBK" w:hAnsi="方正小标宋_GBK" w:eastAsia="方正小标宋_GBK" w:cs="方正小标宋_GBK"/>
          <w:sz w:val="44"/>
          <w:szCs w:val="44"/>
          <w:lang w:eastAsia="zh-CN"/>
        </w:rPr>
      </w:pPr>
      <w:r>
        <w:rPr>
          <w:rFonts w:hint="default" w:ascii="方正小标宋_GBK" w:hAnsi="方正小标宋_GBK" w:eastAsia="方正小标宋_GBK" w:cs="方正小标宋_GBK"/>
          <w:sz w:val="44"/>
          <w:szCs w:val="44"/>
          <w:lang w:eastAsia="zh-CN"/>
        </w:rPr>
        <w:t>用地使用权入股、联营工作</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方正小标宋_GBK" w:hAnsi="方正小标宋_GBK" w:eastAsia="方正小标宋_GBK" w:cs="方正小标宋_GBK"/>
          <w:sz w:val="44"/>
          <w:szCs w:val="44"/>
          <w:lang w:eastAsia="zh-CN"/>
        </w:rPr>
      </w:pPr>
      <w:r>
        <w:rPr>
          <w:rFonts w:hint="default" w:ascii="方正小标宋_GBK" w:hAnsi="方正小标宋_GBK" w:eastAsia="方正小标宋_GBK" w:cs="方正小标宋_GBK"/>
          <w:sz w:val="44"/>
          <w:szCs w:val="44"/>
          <w:lang w:eastAsia="zh-CN"/>
        </w:rPr>
        <w:t>实施方案》的通知</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各镇</w:t>
      </w:r>
      <w:r>
        <w:rPr>
          <w:rFonts w:hint="default" w:ascii="仿宋_GB2312" w:hAnsi="仿宋_GB2312" w:eastAsia="仿宋_GB2312" w:cs="仿宋_GB2312"/>
          <w:sz w:val="32"/>
          <w:szCs w:val="32"/>
          <w:lang w:eastAsia="zh-CN"/>
        </w:rPr>
        <w:t>人民政府，兴隆华侨旅游经济区管委会，</w:t>
      </w:r>
      <w:r>
        <w:rPr>
          <w:rFonts w:hint="eastAsia" w:ascii="仿宋_GB2312" w:hAnsi="仿宋_GB2312" w:eastAsia="仿宋_GB2312" w:cs="仿宋_GB2312"/>
          <w:sz w:val="32"/>
          <w:szCs w:val="32"/>
          <w:lang w:eastAsia="zh-CN"/>
        </w:rPr>
        <w:t>市政府直属各单位：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eastAsia="zh-CN"/>
        </w:rPr>
        <w:t>《</w:t>
      </w:r>
      <w:r>
        <w:rPr>
          <w:rFonts w:hint="default" w:ascii="仿宋_GB2312" w:hAnsi="仿宋_GB2312" w:eastAsia="仿宋_GB2312" w:cs="仿宋_GB2312"/>
          <w:color w:val="auto"/>
          <w:kern w:val="0"/>
          <w:sz w:val="32"/>
          <w:szCs w:val="32"/>
          <w:highlight w:val="none"/>
          <w:lang w:val="en-US" w:eastAsia="zh-CN" w:bidi="ar"/>
        </w:rPr>
        <w:t>万宁市农村集体经营性建设用地使用权入股、联营工作实施方案》</w:t>
      </w:r>
      <w:r>
        <w:rPr>
          <w:rFonts w:hint="default" w:ascii="仿宋_GB2312" w:hAnsi="仿宋_GB2312" w:eastAsia="仿宋_GB2312" w:cs="仿宋_GB2312"/>
          <w:color w:val="auto"/>
          <w:kern w:val="0"/>
          <w:sz w:val="32"/>
          <w:szCs w:val="32"/>
          <w:highlight w:val="none"/>
          <w:lang w:eastAsia="zh-CN" w:bidi="ar"/>
        </w:rPr>
        <w:t>已经市政府十六届市政府第48次常务会议审议通过，现印发给你们，</w:t>
      </w:r>
      <w:r>
        <w:rPr>
          <w:rFonts w:hint="default" w:ascii="仿宋_GB2312" w:hAnsi="仿宋_GB2312" w:eastAsia="仿宋_GB2312" w:cs="仿宋_GB2312"/>
          <w:sz w:val="32"/>
          <w:szCs w:val="32"/>
          <w:lang w:eastAsia="zh-CN"/>
        </w:rPr>
        <w:t>请认真组织实施。</w:t>
      </w:r>
    </w:p>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p>
    <w:p>
      <w:pPr>
        <w:pStyle w:val="5"/>
        <w:keepNext w:val="0"/>
        <w:keepLines w:val="0"/>
        <w:pageBreakBefore w:val="0"/>
        <w:kinsoku/>
        <w:wordWrap/>
        <w:overflowPunct/>
        <w:topLinePunct w:val="0"/>
        <w:autoSpaceDE/>
        <w:autoSpaceDN/>
        <w:bidi w:val="0"/>
        <w:adjustRightInd/>
        <w:snapToGrid/>
        <w:spacing w:line="440" w:lineRule="exact"/>
        <w:textAlignment w:val="auto"/>
        <w:rPr>
          <w:rFonts w:hint="eastAsia"/>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4800" w:firstLineChars="1500"/>
        <w:jc w:val="both"/>
        <w:textAlignment w:val="auto"/>
        <w:rPr>
          <w:rFonts w:hint="default" w:ascii="仿宋_GB2312" w:hAnsi="仿宋_GB2312" w:eastAsia="仿宋_GB2312" w:cs="仿宋_GB2312"/>
          <w:color w:val="000000"/>
          <w:kern w:val="0"/>
          <w:sz w:val="32"/>
          <w:szCs w:val="32"/>
          <w:lang w:val="en" w:eastAsia="zh-CN" w:bidi="ar"/>
        </w:rPr>
      </w:pPr>
      <w:r>
        <w:rPr>
          <w:rFonts w:hint="eastAsia" w:ascii="仿宋_GB2312" w:hAnsi="仿宋_GB2312" w:eastAsia="仿宋_GB2312" w:cs="仿宋_GB2312"/>
          <w:color w:val="000000"/>
          <w:kern w:val="0"/>
          <w:sz w:val="32"/>
          <w:szCs w:val="32"/>
          <w:lang w:val="en-US" w:eastAsia="zh-CN" w:bidi="ar"/>
        </w:rPr>
        <w:t>万宁市人民政府</w:t>
      </w:r>
      <w:r>
        <w:rPr>
          <w:rFonts w:hint="default" w:ascii="仿宋_GB2312" w:hAnsi="仿宋_GB2312" w:eastAsia="仿宋_GB2312" w:cs="仿宋_GB2312"/>
          <w:color w:val="000000"/>
          <w:kern w:val="0"/>
          <w:sz w:val="32"/>
          <w:szCs w:val="32"/>
          <w:lang w:val="en" w:eastAsia="zh-CN" w:bidi="ar"/>
        </w:rPr>
        <w:t>办公室</w:t>
      </w:r>
    </w:p>
    <w:p>
      <w:pPr>
        <w:keepNext w:val="0"/>
        <w:keepLines w:val="0"/>
        <w:pageBreakBefore w:val="0"/>
        <w:widowControl/>
        <w:suppressLineNumbers w:val="0"/>
        <w:kinsoku/>
        <w:wordWrap/>
        <w:overflowPunct/>
        <w:topLinePunct w:val="0"/>
        <w:autoSpaceDE/>
        <w:autoSpaceDN/>
        <w:bidi w:val="0"/>
        <w:adjustRightInd/>
        <w:snapToGrid/>
        <w:spacing w:line="500" w:lineRule="exact"/>
        <w:ind w:left="-210" w:leftChars="-100" w:firstLine="5440" w:firstLineChars="17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2024年1月22日</w:t>
      </w:r>
    </w:p>
    <w:p>
      <w:pPr>
        <w:pStyle w:val="5"/>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sz w:val="32"/>
          <w:szCs w:val="32"/>
          <w:lang w:val="en" w:eastAsia="zh-CN"/>
        </w:rPr>
      </w:pPr>
      <w:r>
        <w:rPr>
          <w:rFonts w:hint="default" w:ascii="仿宋_GB2312" w:hAnsi="仿宋_GB2312" w:eastAsia="仿宋_GB2312" w:cs="仿宋_GB2312"/>
          <w:color w:val="000000"/>
          <w:kern w:val="0"/>
          <w:sz w:val="32"/>
          <w:szCs w:val="32"/>
          <w:lang w:val="en" w:eastAsia="zh-CN" w:bidi="ar"/>
        </w:rPr>
        <w:t>（此件</w:t>
      </w:r>
      <w:r>
        <w:rPr>
          <w:rFonts w:hint="eastAsia" w:ascii="仿宋_GB2312" w:hAnsi="仿宋_GB2312" w:eastAsia="仿宋_GB2312" w:cs="仿宋_GB2312"/>
          <w:color w:val="000000"/>
          <w:kern w:val="0"/>
          <w:sz w:val="32"/>
          <w:szCs w:val="32"/>
          <w:lang w:val="en" w:eastAsia="zh-CN" w:bidi="ar"/>
        </w:rPr>
        <w:t>主动</w:t>
      </w:r>
      <w:r>
        <w:rPr>
          <w:rFonts w:hint="default" w:ascii="仿宋_GB2312" w:hAnsi="仿宋_GB2312" w:eastAsia="仿宋_GB2312" w:cs="仿宋_GB2312"/>
          <w:color w:val="000000"/>
          <w:kern w:val="0"/>
          <w:sz w:val="32"/>
          <w:szCs w:val="32"/>
          <w:lang w:val="en" w:eastAsia="zh-CN" w:bidi="ar"/>
        </w:rPr>
        <w:t>公开）</w:t>
      </w:r>
    </w:p>
    <w:p>
      <w:pPr>
        <w:keepNext w:val="0"/>
        <w:keepLines w:val="0"/>
        <w:pageBreakBefore w:val="0"/>
        <w:kinsoku/>
        <w:wordWrap w:val="0"/>
        <w:overflowPunct/>
        <w:topLinePunct w:val="0"/>
        <w:autoSpaceDE/>
        <w:autoSpaceDN/>
        <w:bidi w:val="0"/>
        <w:adjustRightInd/>
        <w:snapToGrid/>
        <w:spacing w:line="560" w:lineRule="exact"/>
        <w:ind w:left="0" w:leftChars="0" w:firstLine="0" w:firstLineChars="0"/>
        <w:jc w:val="center"/>
        <w:textAlignment w:val="auto"/>
        <w:rPr>
          <w:rFonts w:hint="eastAsia" w:ascii="方正小标宋_GBK" w:hAnsi="方正小标宋_GBK" w:eastAsia="方正小标宋_GBK" w:cs="方正小标宋_GBK"/>
          <w:b w:val="0"/>
          <w:bCs w:val="0"/>
          <w:color w:val="auto"/>
          <w:sz w:val="44"/>
          <w:szCs w:val="44"/>
          <w:highlight w:val="none"/>
          <w:lang w:val="en-US" w:eastAsia="zh-CN"/>
        </w:rPr>
      </w:pPr>
      <w:bookmarkStart w:id="0" w:name="OLE_LINK1"/>
      <w:r>
        <w:rPr>
          <w:rFonts w:hint="eastAsia" w:ascii="方正小标宋_GBK" w:hAnsi="方正小标宋_GBK" w:eastAsia="方正小标宋_GBK" w:cs="方正小标宋_GBK"/>
          <w:b w:val="0"/>
          <w:bCs w:val="0"/>
          <w:color w:val="auto"/>
          <w:sz w:val="44"/>
          <w:szCs w:val="44"/>
          <w:highlight w:val="none"/>
          <w:lang w:val="en-US" w:eastAsia="zh-CN"/>
        </w:rPr>
        <w:t>万宁市农村集体经营性建设用地使用权</w:t>
      </w:r>
    </w:p>
    <w:p>
      <w:pPr>
        <w:keepNext w:val="0"/>
        <w:keepLines w:val="0"/>
        <w:pageBreakBefore w:val="0"/>
        <w:kinsoku/>
        <w:wordWrap w:val="0"/>
        <w:topLinePunct w:val="0"/>
        <w:autoSpaceDE/>
        <w:autoSpaceDN/>
        <w:bidi w:val="0"/>
        <w:adjustRightInd/>
        <w:snapToGrid/>
        <w:spacing w:line="560" w:lineRule="exact"/>
        <w:ind w:left="0" w:leftChars="0" w:firstLine="0" w:firstLineChars="0"/>
        <w:jc w:val="center"/>
        <w:textAlignment w:val="auto"/>
        <w:rPr>
          <w:rFonts w:hint="eastAsia" w:ascii="方正小标宋_GBK" w:hAnsi="方正小标宋_GBK" w:eastAsia="方正小标宋_GBK" w:cs="方正小标宋_GBK"/>
          <w:b w:val="0"/>
          <w:bCs w:val="0"/>
          <w:color w:val="auto"/>
          <w:sz w:val="44"/>
          <w:szCs w:val="44"/>
          <w:highlight w:val="none"/>
          <w:lang w:val="en-US" w:eastAsia="zh-CN"/>
        </w:rPr>
      </w:pPr>
      <w:r>
        <w:rPr>
          <w:rFonts w:hint="eastAsia" w:ascii="方正小标宋_GBK" w:hAnsi="方正小标宋_GBK" w:eastAsia="方正小标宋_GBK" w:cs="方正小标宋_GBK"/>
          <w:b w:val="0"/>
          <w:bCs w:val="0"/>
          <w:color w:val="auto"/>
          <w:sz w:val="44"/>
          <w:szCs w:val="44"/>
          <w:highlight w:val="none"/>
          <w:lang w:val="en-US" w:eastAsia="zh-CN"/>
        </w:rPr>
        <w:t>入股、联营工作实施方案</w:t>
      </w:r>
    </w:p>
    <w:p>
      <w:pPr>
        <w:keepNext w:val="0"/>
        <w:keepLines w:val="0"/>
        <w:pageBreakBefore w:val="0"/>
        <w:widowControl/>
        <w:suppressLineNumbers w:val="0"/>
        <w:kinsoku/>
        <w:topLinePunct w:val="0"/>
        <w:autoSpaceDE/>
        <w:autoSpaceDN/>
        <w:bidi w:val="0"/>
        <w:adjustRightInd/>
        <w:snapToGrid/>
        <w:spacing w:line="560" w:lineRule="exact"/>
        <w:ind w:left="0" w:leftChars="0" w:firstLine="600" w:firstLineChars="200"/>
        <w:jc w:val="both"/>
        <w:textAlignment w:val="auto"/>
        <w:rPr>
          <w:rFonts w:hint="default" w:hAnsi="宋体" w:cs="仿宋_GB2312"/>
          <w:color w:val="auto"/>
          <w:kern w:val="0"/>
          <w:sz w:val="30"/>
          <w:szCs w:val="30"/>
          <w:highlight w:val="none"/>
          <w:lang w:val="en-US" w:eastAsia="zh-CN" w:bidi="ar"/>
        </w:rPr>
      </w:pPr>
    </w:p>
    <w:p>
      <w:pPr>
        <w:keepNext w:val="0"/>
        <w:keepLines w:val="0"/>
        <w:pageBreakBefore w:val="0"/>
        <w:widowControl/>
        <w:suppressLineNumbers w:val="0"/>
        <w:kinsoku/>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为有效保障乡村振兴等项目用地需求，建立健全城镇开发边界线外项目用地供应配套政策，规范农村集体经济组织以集体经营性建设用地使用权入股、联营等形式与其他单位共同举办企业行为，根据《中华人民共和国土地管理法》《中华人民共和国乡镇企业法》《海南省深化农村集体经营性建设用地入市试点工作实施方案》《万宁市推进农村集体经营性建设用地入市试点工作实施方案》等有关法律法规，结合万宁实际情况，特制定本方案。</w:t>
      </w:r>
    </w:p>
    <w:p>
      <w:pPr>
        <w:keepNext w:val="0"/>
        <w:keepLines w:val="0"/>
        <w:pageBreakBefore w:val="0"/>
        <w:widowControl/>
        <w:numPr>
          <w:ilvl w:val="0"/>
          <w:numId w:val="1"/>
        </w:numPr>
        <w:suppressLineNumbers w:val="0"/>
        <w:kinsoku/>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auto"/>
          <w:kern w:val="0"/>
          <w:sz w:val="32"/>
          <w:szCs w:val="32"/>
          <w:highlight w:val="none"/>
          <w:lang w:val="en-US" w:eastAsia="zh-CN" w:bidi="ar"/>
        </w:rPr>
      </w:pPr>
      <w:r>
        <w:rPr>
          <w:rFonts w:hint="eastAsia" w:ascii="黑体" w:hAnsi="黑体" w:eastAsia="黑体" w:cs="黑体"/>
          <w:b w:val="0"/>
          <w:bCs w:val="0"/>
          <w:color w:val="auto"/>
          <w:kern w:val="0"/>
          <w:sz w:val="32"/>
          <w:szCs w:val="32"/>
          <w:highlight w:val="none"/>
          <w:lang w:val="en-US" w:eastAsia="zh-CN" w:bidi="ar"/>
        </w:rPr>
        <w:t>适用范围</w:t>
      </w:r>
    </w:p>
    <w:p>
      <w:pPr>
        <w:keepNext w:val="0"/>
        <w:keepLines w:val="0"/>
        <w:pageBreakBefore w:val="0"/>
        <w:widowControl/>
        <w:suppressLineNumbers w:val="0"/>
        <w:kinsoku/>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农村集体经营性建设用地使用权入股、联营是农村集体经济组织使用集体经营性建设用地以土地使用权入股、联营等形式与其他单位、个人共同举办企业</w:t>
      </w:r>
      <w:r>
        <w:rPr>
          <w:rFonts w:hint="eastAsia" w:ascii="仿宋_GB2312" w:hAnsi="仿宋_GB2312" w:eastAsia="仿宋_GB2312" w:cs="仿宋_GB2312"/>
          <w:color w:val="auto"/>
          <w:kern w:val="0"/>
          <w:sz w:val="32"/>
          <w:szCs w:val="32"/>
          <w:highlight w:val="none"/>
          <w:lang w:eastAsia="zh-CN" w:bidi="ar"/>
        </w:rPr>
        <w:t>；也可保留集体经营性建设用地使用权人不变，与其他单位、个人入股、联营共同使用土地。新增的农村集体经营性建设用地只能采取上述入股、联营方式开发建设。</w:t>
      </w:r>
    </w:p>
    <w:p>
      <w:pPr>
        <w:pStyle w:val="18"/>
        <w:keepNext w:val="0"/>
        <w:keepLines w:val="0"/>
        <w:pageBreakBefore w:val="0"/>
        <w:kinsoku/>
        <w:topLinePunct w:val="0"/>
        <w:autoSpaceDE/>
        <w:autoSpaceDN/>
        <w:bidi w:val="0"/>
        <w:adjustRightInd/>
        <w:snapToGrid/>
        <w:spacing w:after="0" w:line="560" w:lineRule="exact"/>
        <w:ind w:left="0" w:leftChars="0" w:firstLine="0" w:firstLineChars="0"/>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 xml:space="preserve"> </w:t>
      </w:r>
      <w:r>
        <w:rPr>
          <w:rFonts w:hint="eastAsia" w:ascii="楷体" w:hAnsi="楷体" w:eastAsia="楷体" w:cs="楷体"/>
          <w:b/>
          <w:bCs/>
          <w:color w:val="auto"/>
          <w:kern w:val="2"/>
          <w:sz w:val="32"/>
          <w:szCs w:val="32"/>
          <w:highlight w:val="none"/>
          <w:u w:val="none" w:color="auto"/>
          <w:lang w:val="en-US" w:eastAsia="zh-CN" w:bidi="ar-SA"/>
        </w:rPr>
        <w:t xml:space="preserve">   （一）使用条件。</w:t>
      </w:r>
      <w:r>
        <w:rPr>
          <w:rFonts w:hint="eastAsia" w:ascii="仿宋_GB2312" w:hAnsi="仿宋_GB2312" w:eastAsia="仿宋_GB2312" w:cs="仿宋_GB2312"/>
          <w:color w:val="auto"/>
          <w:kern w:val="0"/>
          <w:sz w:val="32"/>
          <w:szCs w:val="32"/>
          <w:highlight w:val="none"/>
          <w:lang w:val="en-US" w:eastAsia="zh-CN" w:bidi="ar"/>
        </w:rPr>
        <w:t>以集体经营性建设用地使用权入股、联营等形式与其他单位、个人共同举办企业需满足以下基本条件：</w:t>
      </w:r>
    </w:p>
    <w:p>
      <w:pPr>
        <w:pStyle w:val="18"/>
        <w:keepNext w:val="0"/>
        <w:keepLines w:val="0"/>
        <w:pageBreakBefore w:val="0"/>
        <w:kinsoku/>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1.符合国土空间规划、相关产业规划以及生态环境保护要求；</w:t>
      </w:r>
    </w:p>
    <w:p>
      <w:pPr>
        <w:pStyle w:val="18"/>
        <w:keepNext w:val="0"/>
        <w:keepLines w:val="0"/>
        <w:pageBreakBefore w:val="0"/>
        <w:kinsoku/>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2.土地权属清晰，不存在权属争议，已办理集体土地所有权登记；</w:t>
      </w:r>
    </w:p>
    <w:p>
      <w:pPr>
        <w:pStyle w:val="18"/>
        <w:keepNext w:val="0"/>
        <w:keepLines w:val="0"/>
        <w:pageBreakBefore w:val="0"/>
        <w:kinsoku/>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 xml:space="preserve">3.地上建筑物、构筑物及其他附着物已补偿完毕，或经土地所有权人书面同意随土地一同入股、联营流转； </w:t>
      </w:r>
    </w:p>
    <w:p>
      <w:pPr>
        <w:pStyle w:val="18"/>
        <w:keepNext w:val="0"/>
        <w:keepLines w:val="0"/>
        <w:pageBreakBefore w:val="0"/>
        <w:kinsoku/>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4.未被司法机关、行政机关限制土地权利；</w:t>
      </w:r>
    </w:p>
    <w:p>
      <w:pPr>
        <w:pStyle w:val="18"/>
        <w:keepNext w:val="0"/>
        <w:keepLines w:val="0"/>
        <w:pageBreakBefore w:val="0"/>
        <w:kinsoku/>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5.法律法规规定的其他条件。</w:t>
      </w:r>
    </w:p>
    <w:p>
      <w:pPr>
        <w:pStyle w:val="18"/>
        <w:keepNext w:val="0"/>
        <w:keepLines w:val="0"/>
        <w:pageBreakBefore w:val="0"/>
        <w:kinsoku/>
        <w:topLinePunct w:val="0"/>
        <w:autoSpaceDE/>
        <w:autoSpaceDN/>
        <w:bidi w:val="0"/>
        <w:adjustRightInd/>
        <w:snapToGrid/>
        <w:spacing w:after="0" w:line="560" w:lineRule="exact"/>
        <w:ind w:left="0" w:leftChars="0" w:firstLine="642" w:firstLineChars="200"/>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楷体" w:hAnsi="楷体" w:eastAsia="楷体" w:cs="楷体"/>
          <w:b/>
          <w:bCs/>
          <w:color w:val="auto"/>
          <w:kern w:val="2"/>
          <w:sz w:val="32"/>
          <w:szCs w:val="32"/>
          <w:highlight w:val="none"/>
          <w:u w:val="none" w:color="auto"/>
          <w:lang w:val="en-US" w:eastAsia="zh-CN" w:bidi="ar-SA"/>
        </w:rPr>
        <w:t>（二）用地标准。</w:t>
      </w:r>
      <w:r>
        <w:rPr>
          <w:rFonts w:hint="eastAsia" w:ascii="仿宋_GB2312" w:hAnsi="仿宋_GB2312" w:eastAsia="仿宋_GB2312" w:cs="仿宋_GB2312"/>
          <w:color w:val="auto"/>
          <w:kern w:val="0"/>
          <w:sz w:val="32"/>
          <w:szCs w:val="32"/>
          <w:highlight w:val="none"/>
          <w:lang w:val="en-US" w:eastAsia="zh-CN" w:bidi="ar"/>
        </w:rPr>
        <w:t>原则上参照国有土地的用地标准执行。</w:t>
      </w:r>
    </w:p>
    <w:p>
      <w:pPr>
        <w:pStyle w:val="18"/>
        <w:keepNext w:val="0"/>
        <w:keepLines w:val="0"/>
        <w:pageBreakBefore w:val="0"/>
        <w:kinsoku/>
        <w:topLinePunct w:val="0"/>
        <w:autoSpaceDE/>
        <w:autoSpaceDN/>
        <w:bidi w:val="0"/>
        <w:adjustRightInd/>
        <w:snapToGrid/>
        <w:spacing w:after="0" w:line="560" w:lineRule="exact"/>
        <w:ind w:left="0" w:leftChars="0" w:firstLine="642" w:firstLineChars="200"/>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楷体" w:hAnsi="楷体" w:eastAsia="楷体" w:cs="楷体"/>
          <w:b/>
          <w:bCs/>
          <w:color w:val="auto"/>
          <w:kern w:val="2"/>
          <w:sz w:val="32"/>
          <w:szCs w:val="32"/>
          <w:highlight w:val="none"/>
          <w:u w:val="none" w:color="auto"/>
          <w:lang w:val="en-US" w:eastAsia="zh-CN" w:bidi="ar-SA"/>
        </w:rPr>
        <w:t>（三）登记注册公司。</w:t>
      </w:r>
      <w:r>
        <w:rPr>
          <w:rFonts w:hint="eastAsia" w:ascii="仿宋_GB2312" w:hAnsi="仿宋_GB2312" w:eastAsia="仿宋_GB2312" w:cs="仿宋_GB2312"/>
          <w:color w:val="auto"/>
          <w:kern w:val="0"/>
          <w:sz w:val="32"/>
          <w:szCs w:val="32"/>
          <w:highlight w:val="none"/>
          <w:lang w:val="en-US" w:eastAsia="zh-CN" w:bidi="ar"/>
        </w:rPr>
        <w:t>农村集体经济组织与其他单位共同举办企业的，村级集体经济组织按土地成交额及投资额与入股、联营资格竞得人确定股权占比，再向市场监督管理部门申请办理工商登记注册。利润分红方式可在公司章程中另行约定。为了最大限度保护村集体土地所有权人的利益，减少因企业亏损带来的风险，村集体经济组织可与企业签订固定收益合同，约定使用土地的收益。</w:t>
      </w:r>
    </w:p>
    <w:p>
      <w:pPr>
        <w:pStyle w:val="18"/>
        <w:keepNext w:val="0"/>
        <w:keepLines w:val="0"/>
        <w:pageBreakBefore w:val="0"/>
        <w:kinsoku/>
        <w:topLinePunct w:val="0"/>
        <w:autoSpaceDE/>
        <w:autoSpaceDN/>
        <w:bidi w:val="0"/>
        <w:adjustRightInd/>
        <w:snapToGrid/>
        <w:spacing w:after="0" w:line="560" w:lineRule="exact"/>
        <w:ind w:left="0" w:leftChars="0" w:firstLine="642"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color w:val="auto"/>
          <w:kern w:val="2"/>
          <w:sz w:val="32"/>
          <w:szCs w:val="32"/>
          <w:highlight w:val="none"/>
          <w:u w:val="none" w:color="auto"/>
          <w:lang w:val="en-US" w:eastAsia="zh-CN" w:bidi="ar-SA"/>
        </w:rPr>
        <w:t>（四）其他规定。</w:t>
      </w:r>
      <w:r>
        <w:rPr>
          <w:rFonts w:hint="eastAsia" w:ascii="仿宋_GB2312" w:hAnsi="仿宋_GB2312" w:eastAsia="仿宋_GB2312" w:cs="仿宋_GB2312"/>
          <w:color w:val="auto"/>
          <w:kern w:val="0"/>
          <w:sz w:val="32"/>
          <w:szCs w:val="32"/>
          <w:highlight w:val="none"/>
          <w:lang w:val="en-US" w:eastAsia="zh-CN" w:bidi="ar"/>
        </w:rPr>
        <w:t>部门职责、批后监管等参照《海南省集体经营性建设用地入市试点办法（修订稿）》执行。</w:t>
      </w:r>
    </w:p>
    <w:p>
      <w:pPr>
        <w:keepNext w:val="0"/>
        <w:keepLines w:val="0"/>
        <w:pageBreakBefore w:val="0"/>
        <w:widowControl/>
        <w:numPr>
          <w:ilvl w:val="0"/>
          <w:numId w:val="1"/>
        </w:numPr>
        <w:suppressLineNumbers w:val="0"/>
        <w:kinsoku/>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auto"/>
          <w:kern w:val="0"/>
          <w:sz w:val="32"/>
          <w:szCs w:val="32"/>
          <w:highlight w:val="none"/>
          <w:lang w:val="en-US" w:eastAsia="zh-CN" w:bidi="ar"/>
        </w:rPr>
      </w:pPr>
      <w:r>
        <w:rPr>
          <w:rFonts w:hint="eastAsia" w:ascii="黑体" w:hAnsi="黑体" w:eastAsia="黑体" w:cs="黑体"/>
          <w:b w:val="0"/>
          <w:bCs w:val="0"/>
          <w:color w:val="auto"/>
          <w:kern w:val="0"/>
          <w:sz w:val="32"/>
          <w:szCs w:val="32"/>
          <w:highlight w:val="none"/>
          <w:lang w:val="en-US" w:eastAsia="zh-CN" w:bidi="ar"/>
        </w:rPr>
        <w:t>入股、联营方式</w:t>
      </w:r>
    </w:p>
    <w:p>
      <w:pPr>
        <w:keepNext w:val="0"/>
        <w:keepLines w:val="0"/>
        <w:pageBreakBefore w:val="0"/>
        <w:widowControl/>
        <w:numPr>
          <w:ilvl w:val="0"/>
          <w:numId w:val="0"/>
        </w:numPr>
        <w:suppressLineNumbers w:val="0"/>
        <w:kinsoku/>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default" w:ascii="仿宋_GB2312" w:hAnsi="仿宋_GB2312" w:eastAsia="仿宋_GB2312" w:cs="仿宋_GB2312"/>
          <w:color w:val="auto"/>
          <w:kern w:val="0"/>
          <w:sz w:val="32"/>
          <w:szCs w:val="32"/>
          <w:highlight w:val="none"/>
          <w:lang w:eastAsia="zh-CN" w:bidi="ar"/>
        </w:rPr>
        <w:t>（一）</w:t>
      </w:r>
      <w:r>
        <w:rPr>
          <w:rFonts w:hint="eastAsia" w:ascii="仿宋_GB2312" w:hAnsi="仿宋_GB2312" w:eastAsia="仿宋_GB2312" w:cs="仿宋_GB2312"/>
          <w:color w:val="auto"/>
          <w:kern w:val="0"/>
          <w:sz w:val="32"/>
          <w:szCs w:val="32"/>
          <w:highlight w:val="none"/>
          <w:lang w:val="en-US" w:eastAsia="zh-CN" w:bidi="ar"/>
        </w:rPr>
        <w:t>农村集体经营性建设用地使用权入股、联营，原则上应当采用招标、拍卖和挂牌形式公开交易。</w:t>
      </w:r>
      <w:r>
        <w:rPr>
          <w:rFonts w:hint="eastAsia" w:ascii="仿宋_GB2312" w:hAnsi="仿宋_GB2312" w:eastAsia="仿宋_GB2312" w:cs="仿宋_GB2312"/>
          <w:bCs/>
          <w:color w:val="auto"/>
          <w:sz w:val="32"/>
          <w:szCs w:val="32"/>
          <w:highlight w:val="none"/>
          <w:u w:val="none" w:color="auto"/>
        </w:rPr>
        <w:t>未经公开交易或者未经批准采取协议方式交易的，</w:t>
      </w:r>
      <w:r>
        <w:rPr>
          <w:rFonts w:hint="eastAsia" w:ascii="仿宋_GB2312" w:hAnsi="仿宋_GB2312" w:eastAsia="仿宋_GB2312" w:cs="仿宋_GB2312"/>
          <w:bCs/>
          <w:color w:val="auto"/>
          <w:sz w:val="32"/>
          <w:szCs w:val="32"/>
          <w:highlight w:val="none"/>
          <w:u w:val="none" w:color="auto"/>
          <w:lang w:val="en-US" w:eastAsia="zh-CN"/>
        </w:rPr>
        <w:t>农村集体经济组织</w:t>
      </w:r>
      <w:r>
        <w:rPr>
          <w:rFonts w:hint="eastAsia" w:ascii="仿宋_GB2312" w:hAnsi="仿宋_GB2312" w:eastAsia="仿宋_GB2312" w:cs="仿宋_GB2312"/>
          <w:bCs/>
          <w:color w:val="auto"/>
          <w:sz w:val="32"/>
          <w:szCs w:val="32"/>
          <w:highlight w:val="none"/>
          <w:u w:val="none" w:color="auto"/>
        </w:rPr>
        <w:t>与用地者不得私下签订入股、联营合同</w:t>
      </w:r>
      <w:r>
        <w:rPr>
          <w:rFonts w:hint="eastAsia" w:ascii="仿宋_GB2312" w:hAnsi="仿宋_GB2312" w:eastAsia="仿宋_GB2312" w:cs="仿宋_GB2312"/>
          <w:bCs/>
          <w:color w:val="auto"/>
          <w:sz w:val="32"/>
          <w:szCs w:val="32"/>
          <w:highlight w:val="none"/>
          <w:u w:val="none" w:color="auto"/>
          <w:lang w:eastAsia="zh-CN"/>
        </w:rPr>
        <w:t>。</w:t>
      </w:r>
    </w:p>
    <w:p>
      <w:pPr>
        <w:pStyle w:val="18"/>
        <w:keepNext w:val="0"/>
        <w:keepLines w:val="0"/>
        <w:pageBreakBefore w:val="0"/>
        <w:numPr>
          <w:ilvl w:val="0"/>
          <w:numId w:val="0"/>
        </w:numPr>
        <w:kinsoku/>
        <w:topLinePunct w:val="0"/>
        <w:autoSpaceDE/>
        <w:autoSpaceDN/>
        <w:bidi w:val="0"/>
        <w:adjustRightInd/>
        <w:snapToGrid/>
        <w:spacing w:after="0" w:line="560" w:lineRule="exac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sz w:val="32"/>
          <w:szCs w:val="32"/>
          <w:lang w:val="en-US" w:eastAsia="zh-CN"/>
        </w:rPr>
        <w:t xml:space="preserve">    （二）农村集体经营性建设用地使用权入股、联营的最高年限，不得超过国家规定国有建设用地同类土地用途出让的最高年限。</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auto"/>
          <w:kern w:val="0"/>
          <w:sz w:val="32"/>
          <w:szCs w:val="32"/>
          <w:highlight w:val="none"/>
          <w:lang w:val="en-US" w:eastAsia="zh-CN" w:bidi="ar"/>
        </w:rPr>
      </w:pPr>
      <w:r>
        <w:rPr>
          <w:rFonts w:hint="eastAsia" w:ascii="黑体" w:hAnsi="黑体" w:eastAsia="黑体" w:cs="黑体"/>
          <w:b w:val="0"/>
          <w:bCs w:val="0"/>
          <w:color w:val="auto"/>
          <w:kern w:val="0"/>
          <w:sz w:val="32"/>
          <w:szCs w:val="32"/>
          <w:highlight w:val="none"/>
          <w:lang w:val="en-US" w:eastAsia="zh-CN" w:bidi="ar"/>
        </w:rPr>
        <w:t>公开交易程序</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2" w:firstLineChars="200"/>
        <w:textAlignment w:val="auto"/>
        <w:outlineLvl w:val="9"/>
        <w:rPr>
          <w:rFonts w:hint="eastAsia" w:ascii="仿宋_GB2312" w:hAnsi="仿宋_GB2312" w:eastAsia="仿宋_GB2312" w:cs="仿宋_GB2312"/>
          <w:color w:val="auto"/>
          <w:sz w:val="32"/>
          <w:szCs w:val="32"/>
          <w:highlight w:val="none"/>
          <w:u w:val="none" w:color="auto"/>
        </w:rPr>
      </w:pPr>
      <w:r>
        <w:rPr>
          <w:rFonts w:hint="eastAsia" w:ascii="楷体" w:hAnsi="楷体" w:eastAsia="楷体" w:cs="楷体"/>
          <w:b/>
          <w:bCs/>
          <w:color w:val="auto"/>
          <w:kern w:val="2"/>
          <w:sz w:val="32"/>
          <w:szCs w:val="32"/>
          <w:highlight w:val="none"/>
          <w:u w:val="none" w:color="auto"/>
          <w:lang w:val="en-US" w:eastAsia="zh-CN" w:bidi="ar-SA"/>
        </w:rPr>
        <w:t>（一）申请。</w:t>
      </w:r>
      <w:r>
        <w:rPr>
          <w:rFonts w:hint="eastAsia" w:ascii="仿宋_GB2312" w:hAnsi="仿宋_GB2312" w:eastAsia="仿宋_GB2312" w:cs="仿宋_GB2312"/>
          <w:color w:val="auto"/>
          <w:sz w:val="32"/>
          <w:szCs w:val="32"/>
          <w:highlight w:val="none"/>
          <w:u w:val="none" w:color="auto"/>
        </w:rPr>
        <w:t>土地所有权人拟</w:t>
      </w:r>
      <w:r>
        <w:rPr>
          <w:rFonts w:hint="eastAsia" w:ascii="仿宋_GB2312" w:hAnsi="仿宋_GB2312" w:eastAsia="仿宋_GB2312" w:cs="仿宋_GB2312"/>
          <w:color w:val="auto"/>
          <w:sz w:val="32"/>
          <w:szCs w:val="32"/>
          <w:highlight w:val="none"/>
          <w:u w:val="none" w:color="auto"/>
          <w:lang w:eastAsia="zh-CN"/>
        </w:rPr>
        <w:t>申请以集体经营性建设用地使用权入股、联营等形式共同举办企业的</w:t>
      </w:r>
      <w:r>
        <w:rPr>
          <w:rFonts w:hint="eastAsia" w:ascii="仿宋_GB2312" w:hAnsi="仿宋_GB2312" w:eastAsia="仿宋_GB2312" w:cs="仿宋_GB2312"/>
          <w:color w:val="auto"/>
          <w:sz w:val="32"/>
          <w:szCs w:val="32"/>
          <w:highlight w:val="none"/>
          <w:u w:val="none" w:color="auto"/>
        </w:rPr>
        <w:t>，经村民会议三分之二以上成员或三分之二以上村民代表表决同意后，可以向所在地乡镇人民政府递交入股、联营申请书，并提交入股、联营表决书等相关材料，入股、联营申请书应当写明拟</w:t>
      </w:r>
      <w:r>
        <w:rPr>
          <w:rFonts w:hint="default" w:ascii="仿宋_GB2312" w:hAnsi="仿宋_GB2312" w:eastAsia="仿宋_GB2312" w:cs="仿宋_GB2312"/>
          <w:color w:val="auto"/>
          <w:sz w:val="32"/>
          <w:szCs w:val="32"/>
          <w:highlight w:val="none"/>
          <w:u w:val="none" w:color="auto"/>
        </w:rPr>
        <w:t>入股联营</w:t>
      </w:r>
      <w:r>
        <w:rPr>
          <w:rFonts w:hint="eastAsia" w:ascii="仿宋_GB2312" w:hAnsi="仿宋_GB2312" w:eastAsia="仿宋_GB2312" w:cs="仿宋_GB2312"/>
          <w:color w:val="auto"/>
          <w:sz w:val="32"/>
          <w:szCs w:val="32"/>
          <w:highlight w:val="none"/>
          <w:u w:val="none" w:color="auto"/>
          <w:lang w:eastAsia="zh-CN"/>
        </w:rPr>
        <w:t>地块</w:t>
      </w:r>
      <w:r>
        <w:rPr>
          <w:rFonts w:hint="eastAsia" w:ascii="仿宋_GB2312" w:hAnsi="仿宋_GB2312" w:eastAsia="仿宋_GB2312" w:cs="仿宋_GB2312"/>
          <w:color w:val="auto"/>
          <w:sz w:val="32"/>
          <w:szCs w:val="32"/>
          <w:highlight w:val="none"/>
          <w:u w:val="none" w:color="auto"/>
        </w:rPr>
        <w:t>位置、权属、地上附着物等基本情况。</w:t>
      </w:r>
    </w:p>
    <w:p>
      <w:pPr>
        <w:pStyle w:val="25"/>
        <w:keepNext w:val="0"/>
        <w:keepLines w:val="0"/>
        <w:pageBreakBefore w:val="0"/>
        <w:widowControl/>
        <w:kinsoku/>
        <w:wordWrap/>
        <w:overflowPunct w:val="0"/>
        <w:topLinePunct w:val="0"/>
        <w:autoSpaceDE/>
        <w:autoSpaceDN/>
        <w:bidi w:val="0"/>
        <w:adjustRightInd/>
        <w:snapToGrid/>
        <w:spacing w:before="0" w:after="0" w:afterLines="0" w:line="560" w:lineRule="exact"/>
        <w:ind w:left="0" w:leftChars="0" w:right="0" w:rightChars="0" w:firstLine="640" w:firstLineChars="0"/>
        <w:textAlignment w:val="auto"/>
        <w:outlineLvl w:val="9"/>
        <w:rPr>
          <w:rFonts w:hint="eastAsia" w:ascii="仿宋_GB2312" w:hAnsi="仿宋_GB2312" w:eastAsia="仿宋_GB2312" w:cs="仿宋_GB2312"/>
          <w:color w:val="auto"/>
          <w:sz w:val="32"/>
          <w:szCs w:val="32"/>
          <w:highlight w:val="none"/>
          <w:u w:val="none" w:color="auto"/>
        </w:rPr>
      </w:pPr>
      <w:r>
        <w:rPr>
          <w:rFonts w:hint="eastAsia" w:ascii="楷体" w:hAnsi="楷体" w:eastAsia="楷体" w:cs="楷体"/>
          <w:b/>
          <w:bCs/>
          <w:color w:val="auto"/>
          <w:sz w:val="32"/>
          <w:szCs w:val="32"/>
          <w:highlight w:val="none"/>
          <w:u w:val="none" w:color="auto"/>
        </w:rPr>
        <w:t>（二）</w:t>
      </w:r>
      <w:r>
        <w:rPr>
          <w:rFonts w:hint="eastAsia" w:ascii="楷体" w:hAnsi="楷体" w:eastAsia="楷体" w:cs="楷体"/>
          <w:b/>
          <w:bCs/>
          <w:color w:val="auto"/>
          <w:sz w:val="32"/>
          <w:szCs w:val="32"/>
          <w:highlight w:val="none"/>
          <w:u w:val="none" w:color="auto"/>
          <w:lang w:eastAsia="zh-CN"/>
        </w:rPr>
        <w:t>提出规划条件及要求</w:t>
      </w:r>
      <w:r>
        <w:rPr>
          <w:rFonts w:hint="eastAsia" w:ascii="楷体" w:hAnsi="楷体" w:eastAsia="楷体" w:cs="楷体"/>
          <w:b/>
          <w:bCs/>
          <w:color w:val="auto"/>
          <w:sz w:val="32"/>
          <w:szCs w:val="32"/>
          <w:highlight w:val="none"/>
          <w:u w:val="none" w:color="auto"/>
        </w:rPr>
        <w:t>。</w:t>
      </w:r>
      <w:r>
        <w:rPr>
          <w:rFonts w:hint="eastAsia" w:ascii="仿宋_GB2312" w:hAnsi="仿宋_GB2312" w:eastAsia="仿宋_GB2312" w:cs="仿宋_GB2312"/>
          <w:color w:val="auto"/>
          <w:sz w:val="32"/>
          <w:szCs w:val="32"/>
          <w:highlight w:val="none"/>
          <w:u w:val="none" w:color="auto"/>
        </w:rPr>
        <w:t>乡镇人民政府对拟入股、联营</w:t>
      </w:r>
      <w:r>
        <w:rPr>
          <w:rFonts w:hint="eastAsia" w:ascii="仿宋_GB2312" w:hAnsi="仿宋_GB2312" w:eastAsia="仿宋_GB2312" w:cs="仿宋_GB2312"/>
          <w:color w:val="auto"/>
          <w:sz w:val="32"/>
          <w:szCs w:val="32"/>
          <w:highlight w:val="none"/>
          <w:u w:val="none" w:color="auto"/>
          <w:lang w:eastAsia="zh-CN"/>
        </w:rPr>
        <w:t>地块</w:t>
      </w:r>
      <w:r>
        <w:rPr>
          <w:rFonts w:hint="eastAsia" w:ascii="仿宋_GB2312" w:hAnsi="仿宋_GB2312" w:eastAsia="仿宋_GB2312" w:cs="仿宋_GB2312"/>
          <w:color w:val="auto"/>
          <w:sz w:val="32"/>
          <w:szCs w:val="32"/>
          <w:highlight w:val="none"/>
          <w:u w:val="none" w:color="auto"/>
        </w:rPr>
        <w:t>的使用现状、</w:t>
      </w:r>
      <w:r>
        <w:rPr>
          <w:rFonts w:hint="default" w:cs="仿宋_GB2312"/>
          <w:color w:val="auto"/>
          <w:sz w:val="32"/>
          <w:szCs w:val="32"/>
          <w:highlight w:val="none"/>
          <w:u w:val="none" w:color="auto"/>
        </w:rPr>
        <w:t>，</w:t>
      </w:r>
      <w:r>
        <w:rPr>
          <w:rFonts w:hint="eastAsia" w:ascii="仿宋_GB2312" w:hAnsi="仿宋_GB2312" w:eastAsia="仿宋_GB2312" w:cs="仿宋_GB2312"/>
          <w:color w:val="auto"/>
          <w:sz w:val="32"/>
          <w:szCs w:val="32"/>
          <w:highlight w:val="none"/>
          <w:u w:val="none" w:color="auto"/>
        </w:rPr>
        <w:t>权属状况、地上附着物状况等进行初审后，出具初审意见。市自然资源和规划部门根据</w:t>
      </w:r>
      <w:r>
        <w:rPr>
          <w:rFonts w:hint="eastAsia" w:ascii="仿宋_GB2312" w:hAnsi="仿宋_GB2312" w:eastAsia="仿宋_GB2312" w:cs="仿宋_GB2312"/>
          <w:color w:val="auto"/>
          <w:sz w:val="32"/>
          <w:szCs w:val="32"/>
          <w:highlight w:val="none"/>
          <w:u w:val="none" w:color="auto"/>
          <w:lang w:eastAsia="zh-CN"/>
        </w:rPr>
        <w:t>初审</w:t>
      </w:r>
      <w:r>
        <w:rPr>
          <w:rFonts w:hint="eastAsia" w:ascii="仿宋_GB2312" w:hAnsi="仿宋_GB2312" w:eastAsia="仿宋_GB2312" w:cs="仿宋_GB2312"/>
          <w:color w:val="auto"/>
          <w:sz w:val="32"/>
          <w:szCs w:val="32"/>
          <w:highlight w:val="none"/>
          <w:u w:val="none" w:color="auto"/>
        </w:rPr>
        <w:t>意见，依据国土空间规划提出拟</w:t>
      </w:r>
      <w:r>
        <w:rPr>
          <w:rFonts w:hint="eastAsia" w:ascii="仿宋_GB2312" w:hAnsi="仿宋_GB2312" w:eastAsia="仿宋_GB2312" w:cs="仿宋_GB2312"/>
          <w:color w:val="auto"/>
          <w:sz w:val="32"/>
          <w:szCs w:val="32"/>
          <w:highlight w:val="none"/>
          <w:u w:val="none" w:color="auto"/>
          <w:lang w:eastAsia="zh-CN"/>
        </w:rPr>
        <w:t>入股、联营</w:t>
      </w:r>
      <w:r>
        <w:rPr>
          <w:rFonts w:hint="eastAsia" w:ascii="仿宋_GB2312" w:hAnsi="仿宋_GB2312" w:eastAsia="仿宋_GB2312" w:cs="仿宋_GB2312"/>
          <w:color w:val="auto"/>
          <w:sz w:val="32"/>
          <w:szCs w:val="32"/>
          <w:highlight w:val="none"/>
          <w:u w:val="none" w:color="auto"/>
        </w:rPr>
        <w:t>的集体经营性建设用地的规划条件，明确土地界址、面积、用途和开发建设强度等，并会同</w:t>
      </w:r>
      <w:r>
        <w:rPr>
          <w:rFonts w:hint="eastAsia" w:ascii="仿宋_GB2312" w:hAnsi="仿宋_GB2312" w:eastAsia="仿宋_GB2312" w:cs="仿宋_GB2312"/>
          <w:color w:val="auto"/>
          <w:sz w:val="32"/>
          <w:szCs w:val="32"/>
          <w:highlight w:val="none"/>
          <w:u w:val="none" w:color="auto"/>
          <w:lang w:eastAsia="zh-CN"/>
        </w:rPr>
        <w:t>市</w:t>
      </w:r>
      <w:r>
        <w:rPr>
          <w:rFonts w:hint="eastAsia" w:ascii="仿宋_GB2312" w:hAnsi="仿宋_GB2312" w:eastAsia="仿宋_GB2312" w:cs="仿宋_GB2312"/>
          <w:color w:val="auto"/>
          <w:sz w:val="32"/>
          <w:szCs w:val="32"/>
          <w:highlight w:val="none"/>
          <w:u w:val="none" w:color="auto"/>
        </w:rPr>
        <w:t>发展改革、生态环境等有关主管部门一并提出产业准入和生态环境保护等要求。</w:t>
      </w:r>
      <w:r>
        <w:rPr>
          <w:rFonts w:hint="eastAsia" w:ascii="仿宋_GB2312" w:hAnsi="仿宋_GB2312" w:eastAsia="仿宋_GB2312" w:cs="仿宋_GB2312"/>
          <w:color w:val="auto"/>
          <w:sz w:val="32"/>
          <w:szCs w:val="32"/>
          <w:highlight w:val="none"/>
          <w:u w:val="none" w:color="auto"/>
          <w:lang w:eastAsia="zh-CN"/>
        </w:rPr>
        <w:t>产业项目应当</w:t>
      </w:r>
      <w:r>
        <w:rPr>
          <w:rFonts w:hint="eastAsia" w:ascii="仿宋_GB2312" w:hAnsi="仿宋_GB2312" w:eastAsia="仿宋_GB2312" w:cs="仿宋_GB2312"/>
          <w:color w:val="000000"/>
          <w:sz w:val="32"/>
          <w:szCs w:val="32"/>
          <w:highlight w:val="none"/>
          <w:u w:val="none" w:color="auto"/>
        </w:rPr>
        <w:t>参照《海南省产业用地控制指标》</w:t>
      </w:r>
      <w:r>
        <w:rPr>
          <w:rFonts w:hint="eastAsia" w:ascii="仿宋_GB2312" w:hAnsi="仿宋_GB2312" w:eastAsia="仿宋_GB2312" w:cs="仿宋_GB2312"/>
          <w:color w:val="000000"/>
          <w:sz w:val="32"/>
          <w:szCs w:val="32"/>
          <w:highlight w:val="none"/>
          <w:u w:val="none" w:color="auto"/>
          <w:lang w:eastAsia="zh-CN"/>
        </w:rPr>
        <w:t>提出投资强度等控制性指标</w:t>
      </w:r>
      <w:r>
        <w:rPr>
          <w:rFonts w:hint="eastAsia" w:ascii="仿宋_GB2312" w:hAnsi="仿宋_GB2312" w:eastAsia="仿宋_GB2312" w:cs="仿宋_GB2312"/>
          <w:color w:val="000000"/>
          <w:sz w:val="32"/>
          <w:szCs w:val="32"/>
          <w:highlight w:val="none"/>
          <w:u w:val="none" w:color="auto"/>
          <w:lang w:val="en-US" w:eastAsia="zh-CN"/>
        </w:rPr>
        <w:t>,原则上不得低于同类用途</w:t>
      </w:r>
      <w:r>
        <w:rPr>
          <w:rFonts w:hint="default" w:cs="仿宋_GB2312"/>
          <w:color w:val="000000"/>
          <w:sz w:val="32"/>
          <w:szCs w:val="32"/>
          <w:highlight w:val="none"/>
          <w:u w:val="none" w:color="auto"/>
          <w:lang w:eastAsia="zh-CN"/>
        </w:rPr>
        <w:t>地块控制性指标</w:t>
      </w:r>
      <w:r>
        <w:rPr>
          <w:rFonts w:hint="eastAsia" w:ascii="仿宋_GB2312" w:hAnsi="仿宋_GB2312" w:eastAsia="仿宋_GB2312" w:cs="仿宋_GB2312"/>
          <w:color w:val="000000"/>
          <w:sz w:val="32"/>
          <w:szCs w:val="32"/>
          <w:highlight w:val="none"/>
          <w:u w:val="none" w:color="auto"/>
          <w:lang w:val="en-US" w:eastAsia="zh-CN"/>
        </w:rPr>
        <w:t>的50%</w:t>
      </w:r>
      <w:r>
        <w:rPr>
          <w:rFonts w:hint="eastAsia" w:ascii="仿宋_GB2312" w:hAnsi="仿宋_GB2312" w:eastAsia="仿宋_GB2312" w:cs="仿宋_GB2312"/>
          <w:color w:val="000000"/>
          <w:sz w:val="32"/>
          <w:szCs w:val="32"/>
          <w:highlight w:val="none"/>
          <w:u w:val="none" w:color="auto"/>
        </w:rPr>
        <w:t>。</w:t>
      </w:r>
      <w:r>
        <w:rPr>
          <w:rFonts w:hint="eastAsia" w:ascii="仿宋_GB2312" w:hAnsi="仿宋_GB2312" w:eastAsia="仿宋_GB2312" w:cs="仿宋_GB2312"/>
          <w:color w:val="auto"/>
          <w:sz w:val="32"/>
          <w:szCs w:val="32"/>
          <w:highlight w:val="none"/>
          <w:u w:val="none" w:color="auto"/>
          <w:lang w:eastAsia="zh-CN"/>
        </w:rPr>
        <w:t>相关意见要综合考量拟入股、联营地块所在村的依法管地用地水平和信用水平。</w:t>
      </w:r>
    </w:p>
    <w:p>
      <w:pPr>
        <w:pStyle w:val="25"/>
        <w:keepNext w:val="0"/>
        <w:keepLines w:val="0"/>
        <w:pageBreakBefore w:val="0"/>
        <w:widowControl w:val="0"/>
        <w:kinsoku/>
        <w:wordWrap/>
        <w:overflowPunct w:val="0"/>
        <w:topLinePunct w:val="0"/>
        <w:autoSpaceDE/>
        <w:autoSpaceDN/>
        <w:bidi w:val="0"/>
        <w:adjustRightInd/>
        <w:snapToGrid/>
        <w:spacing w:before="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auto"/>
          <w:kern w:val="2"/>
          <w:sz w:val="32"/>
          <w:szCs w:val="32"/>
          <w:highlight w:val="none"/>
          <w:u w:val="none" w:color="auto"/>
          <w:lang w:eastAsia="zh-CN"/>
        </w:rPr>
      </w:pPr>
      <w:r>
        <w:rPr>
          <w:rFonts w:hint="eastAsia" w:ascii="楷体" w:hAnsi="楷体" w:eastAsia="楷体" w:cs="楷体"/>
          <w:b/>
          <w:bCs/>
          <w:color w:val="auto"/>
          <w:sz w:val="32"/>
          <w:szCs w:val="32"/>
          <w:highlight w:val="none"/>
          <w:u w:val="none" w:color="auto"/>
        </w:rPr>
        <w:t>（三）地价评估</w:t>
      </w:r>
      <w:r>
        <w:rPr>
          <w:rFonts w:hint="eastAsia" w:ascii="楷体" w:hAnsi="楷体" w:eastAsia="楷体" w:cs="楷体"/>
          <w:b/>
          <w:bCs/>
          <w:color w:val="auto"/>
          <w:sz w:val="32"/>
          <w:szCs w:val="32"/>
          <w:highlight w:val="none"/>
          <w:u w:val="none" w:color="auto"/>
          <w:lang w:eastAsia="zh-CN"/>
        </w:rPr>
        <w:t>。</w:t>
      </w:r>
      <w:r>
        <w:rPr>
          <w:rFonts w:hint="eastAsia" w:ascii="仿宋_GB2312" w:hAnsi="仿宋_GB2312" w:eastAsia="仿宋_GB2312" w:cs="仿宋_GB2312"/>
          <w:color w:val="auto"/>
          <w:kern w:val="2"/>
          <w:sz w:val="32"/>
          <w:szCs w:val="32"/>
          <w:highlight w:val="none"/>
          <w:u w:val="none" w:color="auto"/>
        </w:rPr>
        <w:t>入股、联营主体委托有资质的单位对拟入股、联营</w:t>
      </w:r>
      <w:r>
        <w:rPr>
          <w:rFonts w:hint="eastAsia" w:ascii="仿宋_GB2312" w:hAnsi="仿宋_GB2312" w:eastAsia="仿宋_GB2312" w:cs="仿宋_GB2312"/>
          <w:color w:val="auto"/>
          <w:kern w:val="2"/>
          <w:sz w:val="32"/>
          <w:szCs w:val="32"/>
          <w:highlight w:val="none"/>
          <w:u w:val="none" w:color="auto"/>
          <w:lang w:eastAsia="zh-CN"/>
        </w:rPr>
        <w:t>地块</w:t>
      </w:r>
      <w:r>
        <w:rPr>
          <w:rFonts w:hint="eastAsia" w:ascii="仿宋_GB2312" w:hAnsi="仿宋_GB2312" w:eastAsia="仿宋_GB2312" w:cs="仿宋_GB2312"/>
          <w:color w:val="auto"/>
          <w:kern w:val="2"/>
          <w:sz w:val="32"/>
          <w:szCs w:val="32"/>
          <w:highlight w:val="none"/>
          <w:u w:val="none" w:color="auto"/>
        </w:rPr>
        <w:t>进行地价评估。</w:t>
      </w:r>
      <w:r>
        <w:rPr>
          <w:rFonts w:hint="eastAsia" w:ascii="仿宋_GB2312" w:hAnsi="仿宋_GB2312" w:eastAsia="仿宋_GB2312" w:cs="仿宋_GB2312"/>
          <w:color w:val="auto"/>
          <w:sz w:val="32"/>
          <w:szCs w:val="32"/>
          <w:highlight w:val="none"/>
          <w:u w:val="none" w:color="auto"/>
          <w:lang w:eastAsia="zh-CN"/>
        </w:rPr>
        <w:t>在</w:t>
      </w:r>
      <w:r>
        <w:rPr>
          <w:rFonts w:hint="eastAsia" w:ascii="仿宋_GB2312" w:hAnsi="仿宋_GB2312" w:eastAsia="仿宋_GB2312" w:cs="仿宋_GB2312"/>
          <w:color w:val="auto"/>
          <w:sz w:val="32"/>
          <w:szCs w:val="32"/>
          <w:highlight w:val="none"/>
          <w:u w:val="none" w:color="auto"/>
        </w:rPr>
        <w:t>市自然资源和规划部门</w:t>
      </w:r>
      <w:r>
        <w:rPr>
          <w:rFonts w:hint="eastAsia" w:ascii="仿宋_GB2312" w:hAnsi="仿宋_GB2312" w:eastAsia="仿宋_GB2312" w:cs="仿宋_GB2312"/>
          <w:color w:val="auto"/>
          <w:sz w:val="32"/>
          <w:szCs w:val="32"/>
          <w:highlight w:val="none"/>
          <w:u w:val="none" w:color="auto"/>
          <w:lang w:eastAsia="zh-CN"/>
        </w:rPr>
        <w:t>的指导下，入股、联营主体</w:t>
      </w:r>
      <w:r>
        <w:rPr>
          <w:rFonts w:hint="eastAsia" w:ascii="仿宋_GB2312" w:hAnsi="仿宋_GB2312" w:eastAsia="仿宋_GB2312" w:cs="仿宋_GB2312"/>
          <w:color w:val="auto"/>
          <w:sz w:val="32"/>
          <w:szCs w:val="32"/>
          <w:highlight w:val="none"/>
          <w:u w:val="none" w:color="auto"/>
        </w:rPr>
        <w:t>根据地块评估价格、产业政策等因素，集体决策确定底价，并予以保密。底价不得低于入股、联营成本，不得低于</w:t>
      </w:r>
      <w:r>
        <w:rPr>
          <w:rFonts w:hint="eastAsia" w:ascii="仿宋_GB2312" w:hAnsi="仿宋_GB2312" w:eastAsia="仿宋_GB2312" w:cs="仿宋_GB2312"/>
          <w:color w:val="auto"/>
          <w:sz w:val="32"/>
          <w:szCs w:val="32"/>
          <w:highlight w:val="none"/>
          <w:u w:val="none" w:color="auto"/>
          <w:lang w:eastAsia="zh-CN"/>
        </w:rPr>
        <w:t>国家和</w:t>
      </w:r>
      <w:r>
        <w:rPr>
          <w:rFonts w:hint="eastAsia" w:ascii="仿宋_GB2312" w:hAnsi="仿宋_GB2312" w:eastAsia="仿宋_GB2312" w:cs="仿宋_GB2312"/>
          <w:color w:val="auto"/>
          <w:sz w:val="32"/>
          <w:szCs w:val="32"/>
          <w:highlight w:val="none"/>
          <w:u w:val="none" w:color="auto"/>
        </w:rPr>
        <w:t>我省规定的相应国有建设用地出让最低价标准。入股、联营主体也可交由</w:t>
      </w:r>
      <w:r>
        <w:rPr>
          <w:rFonts w:hint="eastAsia" w:ascii="仿宋_GB2312" w:hAnsi="仿宋_GB2312" w:eastAsia="仿宋_GB2312" w:cs="仿宋_GB2312"/>
          <w:color w:val="auto"/>
          <w:sz w:val="32"/>
          <w:szCs w:val="32"/>
          <w:highlight w:val="none"/>
          <w:u w:val="none" w:color="auto"/>
          <w:lang w:eastAsia="zh-CN"/>
        </w:rPr>
        <w:t>市</w:t>
      </w:r>
      <w:r>
        <w:rPr>
          <w:rFonts w:hint="eastAsia" w:ascii="仿宋_GB2312" w:hAnsi="仿宋_GB2312" w:eastAsia="仿宋_GB2312" w:cs="仿宋_GB2312"/>
          <w:color w:val="auto"/>
          <w:sz w:val="32"/>
          <w:szCs w:val="32"/>
          <w:highlight w:val="none"/>
          <w:u w:val="none" w:color="auto"/>
        </w:rPr>
        <w:t>自然资源和规划局委托有资质的土地评估机构进行地价评估。</w:t>
      </w:r>
      <w:r>
        <w:rPr>
          <w:rFonts w:hint="eastAsia" w:ascii="仿宋_GB2312" w:hAnsi="仿宋_GB2312" w:eastAsia="仿宋_GB2312" w:cs="仿宋_GB2312"/>
          <w:color w:val="auto"/>
          <w:kern w:val="2"/>
          <w:sz w:val="32"/>
          <w:szCs w:val="32"/>
          <w:highlight w:val="none"/>
          <w:u w:val="none" w:color="auto"/>
        </w:rPr>
        <w:t>评估报告须按规定进行备案</w:t>
      </w:r>
      <w:r>
        <w:rPr>
          <w:rFonts w:hint="eastAsia" w:ascii="仿宋_GB2312" w:hAnsi="仿宋_GB2312" w:eastAsia="仿宋_GB2312" w:cs="仿宋_GB2312"/>
          <w:color w:val="auto"/>
          <w:kern w:val="2"/>
          <w:sz w:val="32"/>
          <w:szCs w:val="32"/>
          <w:highlight w:val="none"/>
          <w:u w:val="none" w:color="auto"/>
          <w:lang w:eastAsia="zh-CN"/>
        </w:rPr>
        <w:t>。</w:t>
      </w:r>
    </w:p>
    <w:p>
      <w:pPr>
        <w:pStyle w:val="25"/>
        <w:keepNext w:val="0"/>
        <w:keepLines w:val="0"/>
        <w:pageBreakBefore w:val="0"/>
        <w:widowControl w:val="0"/>
        <w:kinsoku/>
        <w:wordWrap/>
        <w:overflowPunct w:val="0"/>
        <w:topLinePunct w:val="0"/>
        <w:autoSpaceDE/>
        <w:autoSpaceDN/>
        <w:bidi w:val="0"/>
        <w:adjustRightInd/>
        <w:snapToGrid/>
        <w:spacing w:before="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auto"/>
          <w:sz w:val="32"/>
          <w:szCs w:val="32"/>
          <w:highlight w:val="none"/>
          <w:u w:val="none" w:color="auto"/>
        </w:rPr>
      </w:pPr>
      <w:r>
        <w:rPr>
          <w:rFonts w:hint="eastAsia" w:ascii="楷体" w:hAnsi="楷体" w:eastAsia="楷体" w:cs="楷体"/>
          <w:b/>
          <w:bCs/>
          <w:color w:val="auto"/>
          <w:sz w:val="32"/>
          <w:szCs w:val="32"/>
          <w:highlight w:val="none"/>
          <w:u w:val="none" w:color="auto"/>
          <w:lang w:eastAsia="zh-CN"/>
        </w:rPr>
        <w:t>（四）</w:t>
      </w:r>
      <w:r>
        <w:rPr>
          <w:rFonts w:hint="eastAsia" w:ascii="楷体" w:hAnsi="楷体" w:eastAsia="楷体" w:cs="楷体"/>
          <w:b/>
          <w:bCs/>
          <w:color w:val="auto"/>
          <w:sz w:val="32"/>
          <w:szCs w:val="32"/>
          <w:highlight w:val="none"/>
          <w:u w:val="none" w:color="auto"/>
        </w:rPr>
        <w:t>入股、联营方案</w:t>
      </w:r>
      <w:r>
        <w:rPr>
          <w:rFonts w:hint="eastAsia" w:ascii="楷体" w:hAnsi="楷体" w:eastAsia="楷体" w:cs="楷体"/>
          <w:b/>
          <w:bCs/>
          <w:color w:val="auto"/>
          <w:sz w:val="32"/>
          <w:szCs w:val="32"/>
          <w:highlight w:val="none"/>
          <w:u w:val="none" w:color="auto"/>
          <w:lang w:eastAsia="zh-CN"/>
        </w:rPr>
        <w:t>编制</w:t>
      </w:r>
      <w:r>
        <w:rPr>
          <w:rFonts w:hint="eastAsia" w:ascii="楷体" w:hAnsi="楷体" w:eastAsia="楷体" w:cs="楷体"/>
          <w:b/>
          <w:bCs/>
          <w:color w:val="auto"/>
          <w:sz w:val="32"/>
          <w:szCs w:val="32"/>
          <w:highlight w:val="none"/>
          <w:u w:val="none" w:color="auto"/>
        </w:rPr>
        <w:t>。</w:t>
      </w:r>
      <w:r>
        <w:rPr>
          <w:rFonts w:hint="eastAsia" w:ascii="仿宋_GB2312" w:hAnsi="仿宋_GB2312" w:eastAsia="仿宋_GB2312" w:cs="仿宋_GB2312"/>
          <w:color w:val="auto"/>
          <w:kern w:val="2"/>
          <w:sz w:val="32"/>
          <w:szCs w:val="32"/>
          <w:highlight w:val="none"/>
          <w:u w:val="none" w:color="auto"/>
          <w:lang w:eastAsia="zh-CN"/>
        </w:rPr>
        <w:t>入股、联营主体</w:t>
      </w:r>
      <w:r>
        <w:rPr>
          <w:rFonts w:hint="eastAsia" w:ascii="仿宋_GB2312" w:hAnsi="仿宋_GB2312" w:eastAsia="仿宋_GB2312" w:cs="仿宋_GB2312"/>
          <w:color w:val="auto"/>
          <w:sz w:val="32"/>
          <w:szCs w:val="32"/>
          <w:highlight w:val="none"/>
          <w:u w:val="none" w:color="auto"/>
        </w:rPr>
        <w:t>根据规划条件、产业准入和生态环境保护要求等，编制入股、联营方案。入股、联营方案应当包括但不限于以下内容：</w:t>
      </w:r>
      <w:r>
        <w:rPr>
          <w:rFonts w:hint="eastAsia" w:ascii="仿宋_GB2312" w:hAnsi="仿宋_GB2312" w:eastAsia="仿宋_GB2312" w:cs="仿宋_GB2312"/>
          <w:color w:val="auto"/>
          <w:sz w:val="32"/>
          <w:szCs w:val="32"/>
          <w:highlight w:val="none"/>
          <w:u w:val="none" w:color="auto"/>
          <w:lang w:eastAsia="zh-CN"/>
        </w:rPr>
        <w:t>地块</w:t>
      </w:r>
      <w:r>
        <w:rPr>
          <w:rFonts w:hint="eastAsia" w:ascii="仿宋_GB2312" w:hAnsi="仿宋_GB2312" w:eastAsia="仿宋_GB2312" w:cs="仿宋_GB2312"/>
          <w:color w:val="auto"/>
          <w:sz w:val="32"/>
          <w:szCs w:val="32"/>
          <w:highlight w:val="none"/>
          <w:u w:val="none" w:color="auto"/>
        </w:rPr>
        <w:t>界址、面积、权属、</w:t>
      </w:r>
      <w:r>
        <w:rPr>
          <w:rFonts w:hint="eastAsia" w:ascii="仿宋_GB2312" w:hAnsi="仿宋_GB2312" w:eastAsia="仿宋_GB2312" w:cs="仿宋_GB2312"/>
          <w:color w:val="auto"/>
          <w:sz w:val="32"/>
          <w:szCs w:val="32"/>
          <w:highlight w:val="none"/>
          <w:u w:val="none" w:color="auto"/>
          <w:lang w:eastAsia="zh-CN"/>
        </w:rPr>
        <w:t>交易方式、</w:t>
      </w:r>
      <w:r>
        <w:rPr>
          <w:rFonts w:hint="eastAsia" w:ascii="仿宋_GB2312" w:hAnsi="仿宋_GB2312" w:eastAsia="仿宋_GB2312" w:cs="仿宋_GB2312"/>
          <w:color w:val="auto"/>
          <w:sz w:val="32"/>
          <w:szCs w:val="32"/>
          <w:highlight w:val="none"/>
          <w:u w:val="none" w:color="auto"/>
        </w:rPr>
        <w:t>用途、规划条件、产业准入和生态环境保护要求、使用年限、交易方式(招标、拍卖、挂牌或协议)、</w:t>
      </w:r>
      <w:r>
        <w:rPr>
          <w:rFonts w:hint="eastAsia" w:ascii="仿宋_GB2312" w:hAnsi="仿宋_GB2312" w:eastAsia="仿宋_GB2312" w:cs="仿宋_GB2312"/>
          <w:color w:val="auto"/>
          <w:sz w:val="32"/>
          <w:szCs w:val="32"/>
          <w:highlight w:val="none"/>
          <w:u w:val="none" w:color="auto"/>
          <w:lang w:eastAsia="zh-CN"/>
        </w:rPr>
        <w:t>土地</w:t>
      </w:r>
      <w:r>
        <w:rPr>
          <w:rFonts w:hint="eastAsia" w:ascii="仿宋_GB2312" w:hAnsi="仿宋_GB2312" w:eastAsia="仿宋_GB2312" w:cs="仿宋_GB2312"/>
          <w:color w:val="auto"/>
          <w:sz w:val="32"/>
          <w:szCs w:val="32"/>
          <w:highlight w:val="none"/>
          <w:u w:val="none" w:color="auto"/>
        </w:rPr>
        <w:t>价格、</w:t>
      </w:r>
      <w:r>
        <w:rPr>
          <w:rFonts w:hint="eastAsia" w:ascii="仿宋_GB2312" w:hAnsi="仿宋_GB2312" w:eastAsia="仿宋_GB2312" w:cs="仿宋_GB2312"/>
          <w:color w:val="auto"/>
          <w:sz w:val="32"/>
          <w:szCs w:val="32"/>
          <w:highlight w:val="none"/>
          <w:u w:val="none" w:color="auto"/>
          <w:lang w:eastAsia="zh-CN"/>
        </w:rPr>
        <w:t>收益分配</w:t>
      </w:r>
      <w:r>
        <w:rPr>
          <w:rFonts w:hint="eastAsia" w:ascii="仿宋_GB2312" w:hAnsi="仿宋_GB2312" w:eastAsia="仿宋_GB2312" w:cs="仿宋_GB2312"/>
          <w:color w:val="auto"/>
          <w:sz w:val="32"/>
          <w:szCs w:val="32"/>
          <w:highlight w:val="none"/>
          <w:u w:val="none" w:color="auto"/>
        </w:rPr>
        <w:t>、土壤污染状况调查情况等内容。</w:t>
      </w:r>
    </w:p>
    <w:p>
      <w:pPr>
        <w:keepNext w:val="0"/>
        <w:keepLines w:val="0"/>
        <w:pageBreakBefore w:val="0"/>
        <w:widowControl/>
        <w:kinsoku/>
        <w:wordWrap/>
        <w:topLinePunct w:val="0"/>
        <w:autoSpaceDE/>
        <w:autoSpaceDN/>
        <w:bidi w:val="0"/>
        <w:adjustRightInd/>
        <w:snapToGrid/>
        <w:spacing w:before="0" w:line="560" w:lineRule="exact"/>
        <w:ind w:left="0" w:leftChars="0" w:right="0" w:rightChars="0" w:firstLine="642" w:firstLineChars="200"/>
        <w:textAlignment w:val="auto"/>
        <w:outlineLvl w:val="9"/>
        <w:rPr>
          <w:rFonts w:hint="eastAsia" w:ascii="仿宋_GB2312" w:hAnsi="仿宋_GB2312" w:eastAsia="仿宋_GB2312" w:cs="仿宋_GB2312"/>
          <w:color w:val="auto"/>
          <w:sz w:val="32"/>
          <w:szCs w:val="32"/>
          <w:highlight w:val="none"/>
          <w:u w:val="none" w:color="auto"/>
        </w:rPr>
      </w:pPr>
      <w:r>
        <w:rPr>
          <w:rFonts w:hint="eastAsia" w:ascii="楷体" w:hAnsi="楷体" w:eastAsia="楷体" w:cs="楷体"/>
          <w:b/>
          <w:bCs/>
          <w:color w:val="auto"/>
          <w:kern w:val="2"/>
          <w:sz w:val="32"/>
          <w:szCs w:val="32"/>
          <w:highlight w:val="none"/>
          <w:u w:val="none" w:color="auto"/>
          <w:lang w:val="en-US" w:eastAsia="zh-CN" w:bidi="ar-SA"/>
        </w:rPr>
        <w:t>（五）入股、联营方案表决。</w:t>
      </w:r>
      <w:r>
        <w:rPr>
          <w:rFonts w:hint="eastAsia" w:ascii="仿宋_GB2312" w:hAnsi="仿宋_GB2312" w:eastAsia="仿宋_GB2312" w:cs="仿宋_GB2312"/>
          <w:color w:val="auto"/>
          <w:sz w:val="32"/>
          <w:szCs w:val="32"/>
          <w:highlight w:val="none"/>
          <w:u w:val="none" w:color="auto"/>
        </w:rPr>
        <w:t>入股、联营方案应当经村民会议三分之二以上成员或三分之二以上村民代表表决，并依法形成</w:t>
      </w:r>
      <w:r>
        <w:rPr>
          <w:rFonts w:hint="eastAsia" w:ascii="仿宋_GB2312" w:hAnsi="仿宋_GB2312" w:eastAsia="仿宋_GB2312" w:cs="仿宋_GB2312"/>
          <w:color w:val="auto"/>
          <w:sz w:val="32"/>
          <w:szCs w:val="32"/>
          <w:highlight w:val="none"/>
          <w:u w:val="none" w:color="auto"/>
          <w:lang w:eastAsia="zh-CN"/>
        </w:rPr>
        <w:t>表决资料</w:t>
      </w:r>
      <w:r>
        <w:rPr>
          <w:rFonts w:hint="eastAsia" w:ascii="仿宋_GB2312" w:hAnsi="仿宋_GB2312" w:eastAsia="仿宋_GB2312" w:cs="仿宋_GB2312"/>
          <w:color w:val="auto"/>
          <w:sz w:val="32"/>
          <w:szCs w:val="32"/>
          <w:highlight w:val="none"/>
          <w:u w:val="none" w:color="auto"/>
        </w:rPr>
        <w:t>。集体经营性建设用地属乡镇集体经济组织的，入股、联营方案应当经乡镇党政联席会议或乡镇长办公会议集体研究决定。</w:t>
      </w:r>
      <w:r>
        <w:rPr>
          <w:rFonts w:hint="eastAsia" w:ascii="仿宋_GB2312" w:hAnsi="仿宋_GB2312" w:eastAsia="仿宋_GB2312" w:cs="仿宋_GB2312"/>
          <w:color w:val="auto"/>
          <w:sz w:val="32"/>
          <w:szCs w:val="32"/>
          <w:highlight w:val="none"/>
          <w:u w:val="none" w:color="auto"/>
          <w:lang w:eastAsia="zh-CN"/>
        </w:rPr>
        <w:t>入股、联营决议</w:t>
      </w:r>
      <w:r>
        <w:rPr>
          <w:rFonts w:hint="eastAsia" w:ascii="仿宋_GB2312" w:hAnsi="仿宋_GB2312" w:eastAsia="仿宋_GB2312" w:cs="仿宋_GB2312"/>
          <w:color w:val="auto"/>
          <w:sz w:val="32"/>
          <w:szCs w:val="32"/>
          <w:highlight w:val="none"/>
          <w:u w:val="none" w:color="auto"/>
        </w:rPr>
        <w:t>应经集体经济组织事务公开栏公示，期限不少于十天</w:t>
      </w:r>
      <w:r>
        <w:rPr>
          <w:rFonts w:hint="eastAsia" w:ascii="仿宋_GB2312" w:hAnsi="仿宋_GB2312" w:eastAsia="仿宋_GB2312" w:cs="仿宋_GB2312"/>
          <w:color w:val="auto"/>
          <w:sz w:val="32"/>
          <w:szCs w:val="32"/>
          <w:highlight w:val="none"/>
          <w:u w:val="none" w:color="auto"/>
          <w:lang w:eastAsia="zh-CN"/>
        </w:rPr>
        <w:t>。</w:t>
      </w:r>
      <w:r>
        <w:rPr>
          <w:rFonts w:hint="eastAsia" w:ascii="仿宋_GB2312" w:hAnsi="仿宋_GB2312" w:eastAsia="仿宋_GB2312" w:cs="仿宋_GB2312"/>
          <w:color w:val="auto"/>
          <w:sz w:val="32"/>
          <w:szCs w:val="32"/>
          <w:highlight w:val="none"/>
          <w:u w:val="none" w:color="auto"/>
        </w:rPr>
        <w:t>入股、联营方案经表决后，由入股、联营主体在入股、联营前不少于十个工作日</w:t>
      </w:r>
      <w:r>
        <w:rPr>
          <w:rFonts w:hint="eastAsia" w:ascii="仿宋_GB2312" w:hAnsi="仿宋_GB2312" w:eastAsia="仿宋_GB2312" w:cs="仿宋_GB2312"/>
          <w:color w:val="auto"/>
          <w:sz w:val="32"/>
          <w:szCs w:val="32"/>
          <w:highlight w:val="none"/>
          <w:u w:val="none" w:color="auto"/>
          <w:lang w:eastAsia="zh-CN"/>
        </w:rPr>
        <w:t>将拟交易地块</w:t>
      </w:r>
      <w:r>
        <w:rPr>
          <w:rFonts w:hint="eastAsia" w:ascii="仿宋_GB2312" w:hAnsi="仿宋_GB2312" w:eastAsia="仿宋_GB2312" w:cs="仿宋_GB2312"/>
          <w:color w:val="auto"/>
          <w:sz w:val="32"/>
          <w:szCs w:val="32"/>
          <w:highlight w:val="none"/>
          <w:u w:val="none" w:color="auto"/>
        </w:rPr>
        <w:t>的入股、联营方案</w:t>
      </w:r>
      <w:r>
        <w:rPr>
          <w:rFonts w:hint="eastAsia" w:ascii="仿宋_GB2312" w:hAnsi="仿宋_GB2312" w:eastAsia="仿宋_GB2312" w:cs="仿宋_GB2312"/>
          <w:color w:val="auto"/>
          <w:sz w:val="32"/>
          <w:szCs w:val="32"/>
          <w:highlight w:val="none"/>
          <w:u w:val="none" w:color="auto"/>
          <w:lang w:eastAsia="zh-CN"/>
        </w:rPr>
        <w:t>和</w:t>
      </w:r>
      <w:r>
        <w:rPr>
          <w:rFonts w:hint="eastAsia" w:ascii="仿宋_GB2312" w:hAnsi="仿宋_GB2312" w:eastAsia="仿宋_GB2312" w:cs="仿宋_GB2312"/>
          <w:color w:val="auto"/>
          <w:sz w:val="32"/>
          <w:szCs w:val="32"/>
          <w:highlight w:val="none"/>
          <w:u w:val="none" w:color="auto"/>
        </w:rPr>
        <w:t>决议</w:t>
      </w:r>
      <w:r>
        <w:rPr>
          <w:rFonts w:hint="eastAsia" w:ascii="仿宋_GB2312" w:hAnsi="仿宋_GB2312" w:eastAsia="仿宋_GB2312" w:cs="仿宋_GB2312"/>
          <w:color w:val="auto"/>
          <w:sz w:val="32"/>
          <w:szCs w:val="32"/>
          <w:highlight w:val="none"/>
          <w:u w:val="none" w:color="auto"/>
          <w:lang w:eastAsia="zh-CN"/>
        </w:rPr>
        <w:t>等</w:t>
      </w:r>
      <w:r>
        <w:rPr>
          <w:rFonts w:hint="eastAsia" w:ascii="仿宋_GB2312" w:hAnsi="仿宋_GB2312" w:eastAsia="仿宋_GB2312" w:cs="仿宋_GB2312"/>
          <w:color w:val="auto"/>
          <w:sz w:val="32"/>
          <w:szCs w:val="32"/>
          <w:highlight w:val="none"/>
          <w:u w:val="none" w:color="auto"/>
        </w:rPr>
        <w:t>材料报市人民政府。</w:t>
      </w:r>
    </w:p>
    <w:p>
      <w:pPr>
        <w:pStyle w:val="25"/>
        <w:keepNext w:val="0"/>
        <w:keepLines w:val="0"/>
        <w:pageBreakBefore w:val="0"/>
        <w:widowControl/>
        <w:kinsoku/>
        <w:wordWrap/>
        <w:overflowPunct w:val="0"/>
        <w:topLinePunct w:val="0"/>
        <w:autoSpaceDE/>
        <w:autoSpaceDN/>
        <w:bidi w:val="0"/>
        <w:adjustRightInd/>
        <w:snapToGrid/>
        <w:spacing w:before="0" w:after="0" w:afterLines="0" w:line="560" w:lineRule="exact"/>
        <w:ind w:left="0" w:leftChars="0" w:right="0" w:rightChars="0" w:firstLine="642" w:firstLineChars="200"/>
        <w:textAlignment w:val="auto"/>
        <w:outlineLvl w:val="9"/>
        <w:rPr>
          <w:rFonts w:hint="eastAsia" w:ascii="仿宋_GB2312" w:hAnsi="仿宋_GB2312" w:eastAsia="仿宋_GB2312" w:cs="仿宋_GB2312"/>
          <w:color w:val="auto"/>
          <w:sz w:val="32"/>
          <w:szCs w:val="32"/>
          <w:highlight w:val="none"/>
          <w:u w:val="none" w:color="auto"/>
        </w:rPr>
      </w:pPr>
      <w:r>
        <w:rPr>
          <w:rFonts w:hint="eastAsia" w:ascii="楷体" w:hAnsi="楷体" w:eastAsia="楷体" w:cs="楷体"/>
          <w:b/>
          <w:bCs/>
          <w:color w:val="auto"/>
          <w:sz w:val="32"/>
          <w:szCs w:val="32"/>
          <w:highlight w:val="none"/>
          <w:u w:val="none" w:color="auto"/>
        </w:rPr>
        <w:t>（</w:t>
      </w:r>
      <w:r>
        <w:rPr>
          <w:rFonts w:hint="eastAsia" w:ascii="楷体" w:hAnsi="楷体" w:eastAsia="楷体" w:cs="楷体"/>
          <w:b/>
          <w:bCs/>
          <w:color w:val="auto"/>
          <w:sz w:val="32"/>
          <w:szCs w:val="32"/>
          <w:highlight w:val="none"/>
          <w:u w:val="none" w:color="auto"/>
          <w:lang w:eastAsia="zh-CN"/>
        </w:rPr>
        <w:t>六</w:t>
      </w:r>
      <w:r>
        <w:rPr>
          <w:rFonts w:hint="eastAsia" w:ascii="楷体" w:hAnsi="楷体" w:eastAsia="楷体" w:cs="楷体"/>
          <w:b/>
          <w:bCs/>
          <w:color w:val="auto"/>
          <w:sz w:val="32"/>
          <w:szCs w:val="32"/>
          <w:highlight w:val="none"/>
          <w:u w:val="none" w:color="auto"/>
        </w:rPr>
        <w:t>）入股、联营</w:t>
      </w:r>
      <w:r>
        <w:rPr>
          <w:rFonts w:hint="eastAsia" w:ascii="楷体" w:hAnsi="楷体" w:eastAsia="楷体" w:cs="楷体"/>
          <w:b/>
          <w:bCs/>
          <w:color w:val="auto"/>
          <w:sz w:val="32"/>
          <w:szCs w:val="32"/>
          <w:highlight w:val="none"/>
          <w:u w:val="none" w:color="auto"/>
          <w:lang w:eastAsia="zh-CN"/>
        </w:rPr>
        <w:t>方案</w:t>
      </w:r>
      <w:r>
        <w:rPr>
          <w:rFonts w:hint="default" w:ascii="楷体" w:hAnsi="楷体" w:eastAsia="楷体" w:cs="楷体"/>
          <w:b/>
          <w:bCs/>
          <w:color w:val="auto"/>
          <w:sz w:val="32"/>
          <w:szCs w:val="32"/>
          <w:highlight w:val="none"/>
          <w:u w:val="none" w:color="auto"/>
          <w:lang w:eastAsia="zh-CN"/>
        </w:rPr>
        <w:t>审核</w:t>
      </w:r>
      <w:r>
        <w:rPr>
          <w:rFonts w:hint="eastAsia" w:ascii="楷体" w:hAnsi="楷体" w:eastAsia="楷体" w:cs="楷体"/>
          <w:b/>
          <w:bCs/>
          <w:color w:val="auto"/>
          <w:sz w:val="32"/>
          <w:szCs w:val="32"/>
          <w:highlight w:val="none"/>
          <w:u w:val="none" w:color="auto"/>
        </w:rPr>
        <w:t>核对。</w:t>
      </w:r>
      <w:r>
        <w:rPr>
          <w:rFonts w:hint="eastAsia" w:ascii="仿宋_GB2312" w:hAnsi="仿宋_GB2312" w:eastAsia="仿宋_GB2312" w:cs="仿宋_GB2312"/>
          <w:color w:val="auto"/>
          <w:sz w:val="32"/>
          <w:szCs w:val="32"/>
          <w:highlight w:val="none"/>
          <w:u w:val="none" w:color="auto"/>
        </w:rPr>
        <w:t>市人民政府应当及时组织自然资源和规划、发展改革、生态环境</w:t>
      </w:r>
      <w:r>
        <w:rPr>
          <w:rFonts w:hint="eastAsia" w:ascii="仿宋_GB2312" w:hAnsi="仿宋_GB2312" w:eastAsia="仿宋_GB2312" w:cs="仿宋_GB2312"/>
          <w:color w:val="auto"/>
          <w:sz w:val="32"/>
          <w:szCs w:val="32"/>
          <w:highlight w:val="none"/>
          <w:u w:val="none" w:color="auto"/>
          <w:lang w:eastAsia="zh-CN"/>
        </w:rPr>
        <w:t>、市场监管</w:t>
      </w:r>
      <w:r>
        <w:rPr>
          <w:rFonts w:hint="default" w:cs="仿宋_GB2312"/>
          <w:color w:val="auto"/>
          <w:sz w:val="32"/>
          <w:szCs w:val="32"/>
          <w:highlight w:val="none"/>
          <w:u w:val="none" w:color="auto"/>
          <w:lang w:eastAsia="zh-CN"/>
        </w:rPr>
        <w:t>、相关镇（区）政府</w:t>
      </w:r>
      <w:r>
        <w:rPr>
          <w:rFonts w:hint="eastAsia" w:ascii="仿宋_GB2312" w:hAnsi="仿宋_GB2312" w:eastAsia="仿宋_GB2312" w:cs="仿宋_GB2312"/>
          <w:color w:val="auto"/>
          <w:sz w:val="32"/>
          <w:szCs w:val="32"/>
          <w:highlight w:val="none"/>
          <w:u w:val="none" w:color="auto"/>
        </w:rPr>
        <w:t>等有关主管部门</w:t>
      </w:r>
      <w:r>
        <w:rPr>
          <w:rFonts w:hint="default" w:cs="仿宋_GB2312"/>
          <w:color w:val="auto"/>
          <w:sz w:val="32"/>
          <w:szCs w:val="32"/>
          <w:highlight w:val="none"/>
          <w:u w:val="none" w:color="auto"/>
        </w:rPr>
        <w:t>和单位</w:t>
      </w:r>
      <w:r>
        <w:rPr>
          <w:rFonts w:hint="eastAsia" w:ascii="仿宋_GB2312" w:hAnsi="仿宋_GB2312" w:eastAsia="仿宋_GB2312" w:cs="仿宋_GB2312"/>
          <w:color w:val="auto"/>
          <w:sz w:val="32"/>
          <w:szCs w:val="32"/>
          <w:highlight w:val="none"/>
          <w:u w:val="none" w:color="auto"/>
        </w:rPr>
        <w:t>对方案进行研究，并在收到方案后五个工作日内提出意见。认为</w:t>
      </w:r>
      <w:r>
        <w:rPr>
          <w:rFonts w:hint="eastAsia" w:ascii="仿宋_GB2312" w:hAnsi="仿宋_GB2312" w:eastAsia="仿宋_GB2312" w:cs="仿宋_GB2312"/>
          <w:color w:val="auto"/>
          <w:sz w:val="32"/>
          <w:szCs w:val="32"/>
          <w:highlight w:val="none"/>
          <w:u w:val="none" w:color="auto"/>
          <w:lang w:eastAsia="zh-CN"/>
        </w:rPr>
        <w:t>入股、联营</w:t>
      </w:r>
      <w:r>
        <w:rPr>
          <w:rFonts w:hint="eastAsia" w:ascii="仿宋_GB2312" w:hAnsi="仿宋_GB2312" w:eastAsia="仿宋_GB2312" w:cs="仿宋_GB2312"/>
          <w:color w:val="auto"/>
          <w:sz w:val="32"/>
          <w:szCs w:val="32"/>
          <w:highlight w:val="none"/>
          <w:u w:val="none" w:color="auto"/>
        </w:rPr>
        <w:t>方案符合规划条件</w:t>
      </w:r>
      <w:r>
        <w:rPr>
          <w:rFonts w:hint="eastAsia" w:ascii="仿宋_GB2312" w:hAnsi="仿宋_GB2312" w:eastAsia="仿宋_GB2312" w:cs="仿宋_GB2312"/>
          <w:color w:val="auto"/>
          <w:sz w:val="32"/>
          <w:szCs w:val="32"/>
          <w:highlight w:val="none"/>
          <w:u w:val="none" w:color="auto"/>
          <w:lang w:eastAsia="zh-CN"/>
        </w:rPr>
        <w:t>、</w:t>
      </w:r>
      <w:r>
        <w:rPr>
          <w:rFonts w:hint="eastAsia" w:ascii="仿宋_GB2312" w:hAnsi="仿宋_GB2312" w:eastAsia="仿宋_GB2312" w:cs="仿宋_GB2312"/>
          <w:color w:val="auto"/>
          <w:sz w:val="32"/>
          <w:szCs w:val="32"/>
          <w:highlight w:val="none"/>
          <w:u w:val="none" w:color="auto"/>
        </w:rPr>
        <w:t>产业准入</w:t>
      </w:r>
      <w:r>
        <w:rPr>
          <w:rFonts w:hint="eastAsia" w:ascii="仿宋_GB2312" w:hAnsi="仿宋_GB2312" w:eastAsia="仿宋_GB2312" w:cs="仿宋_GB2312"/>
          <w:color w:val="auto"/>
          <w:sz w:val="32"/>
          <w:szCs w:val="32"/>
          <w:highlight w:val="none"/>
          <w:u w:val="none" w:color="auto"/>
          <w:lang w:eastAsia="zh-CN"/>
        </w:rPr>
        <w:t>、</w:t>
      </w:r>
      <w:r>
        <w:rPr>
          <w:rFonts w:hint="eastAsia" w:ascii="仿宋_GB2312" w:hAnsi="仿宋_GB2312" w:eastAsia="仿宋_GB2312" w:cs="仿宋_GB2312"/>
          <w:color w:val="auto"/>
          <w:sz w:val="32"/>
          <w:szCs w:val="32"/>
          <w:highlight w:val="none"/>
          <w:u w:val="none" w:color="auto"/>
        </w:rPr>
        <w:t>生态环境保护要求</w:t>
      </w:r>
      <w:r>
        <w:rPr>
          <w:rFonts w:hint="eastAsia" w:ascii="仿宋_GB2312" w:hAnsi="仿宋_GB2312" w:eastAsia="仿宋_GB2312" w:cs="仿宋_GB2312"/>
          <w:color w:val="auto"/>
          <w:sz w:val="32"/>
          <w:szCs w:val="32"/>
          <w:highlight w:val="none"/>
          <w:u w:val="none" w:color="auto"/>
          <w:lang w:eastAsia="zh-CN"/>
        </w:rPr>
        <w:t>和公平性竞争审查条件</w:t>
      </w:r>
      <w:r>
        <w:rPr>
          <w:rFonts w:hint="eastAsia" w:ascii="仿宋_GB2312" w:hAnsi="仿宋_GB2312" w:eastAsia="仿宋_GB2312" w:cs="仿宋_GB2312"/>
          <w:color w:val="auto"/>
          <w:sz w:val="32"/>
          <w:szCs w:val="32"/>
          <w:highlight w:val="none"/>
          <w:u w:val="none" w:color="auto"/>
        </w:rPr>
        <w:t>等的，市人民政府应当</w:t>
      </w:r>
      <w:r>
        <w:rPr>
          <w:rFonts w:hint="default" w:cs="仿宋_GB2312"/>
          <w:color w:val="auto"/>
          <w:sz w:val="32"/>
          <w:szCs w:val="32"/>
          <w:highlight w:val="none"/>
          <w:u w:val="none" w:color="auto"/>
        </w:rPr>
        <w:t>予以批复方案；认为不符合的，</w:t>
      </w:r>
      <w:r>
        <w:rPr>
          <w:rFonts w:hint="eastAsia" w:ascii="仿宋_GB2312" w:hAnsi="仿宋_GB2312" w:eastAsia="仿宋_GB2312" w:cs="仿宋_GB2312"/>
          <w:color w:val="auto"/>
          <w:sz w:val="32"/>
          <w:szCs w:val="32"/>
          <w:highlight w:val="none"/>
          <w:u w:val="none" w:color="auto"/>
        </w:rPr>
        <w:t>提出修改意见，</w:t>
      </w:r>
      <w:r>
        <w:rPr>
          <w:rFonts w:hint="eastAsia" w:ascii="仿宋_GB2312" w:hAnsi="仿宋_GB2312" w:eastAsia="仿宋_GB2312" w:cs="仿宋_GB2312"/>
          <w:color w:val="auto"/>
          <w:sz w:val="32"/>
          <w:szCs w:val="32"/>
          <w:highlight w:val="none"/>
          <w:u w:val="none" w:color="auto"/>
          <w:lang w:eastAsia="zh-CN"/>
        </w:rPr>
        <w:t>入股、联营主体</w:t>
      </w:r>
      <w:r>
        <w:rPr>
          <w:rFonts w:hint="eastAsia" w:ascii="仿宋_GB2312" w:hAnsi="仿宋_GB2312" w:eastAsia="仿宋_GB2312" w:cs="仿宋_GB2312"/>
          <w:color w:val="auto"/>
          <w:sz w:val="32"/>
          <w:szCs w:val="32"/>
          <w:highlight w:val="none"/>
          <w:u w:val="none" w:color="auto"/>
        </w:rPr>
        <w:t>应当按照修改意见进行修改</w:t>
      </w:r>
      <w:r>
        <w:rPr>
          <w:rFonts w:hint="default" w:cs="仿宋_GB2312"/>
          <w:color w:val="auto"/>
          <w:sz w:val="32"/>
          <w:szCs w:val="32"/>
          <w:highlight w:val="none"/>
          <w:u w:val="none" w:color="auto"/>
        </w:rPr>
        <w:t>后再上报市政府审查</w:t>
      </w:r>
      <w:r>
        <w:rPr>
          <w:rFonts w:hint="eastAsia" w:ascii="仿宋_GB2312" w:hAnsi="仿宋_GB2312" w:eastAsia="仿宋_GB2312" w:cs="仿宋_GB2312"/>
          <w:color w:val="auto"/>
          <w:sz w:val="32"/>
          <w:szCs w:val="32"/>
          <w:highlight w:val="none"/>
          <w:u w:val="none" w:color="auto"/>
        </w:rPr>
        <w:t>。</w:t>
      </w:r>
    </w:p>
    <w:p>
      <w:pPr>
        <w:pStyle w:val="18"/>
        <w:keepNext w:val="0"/>
        <w:keepLines w:val="0"/>
        <w:pageBreakBefore w:val="0"/>
        <w:widowControl/>
        <w:kinsoku/>
        <w:wordWrap/>
        <w:topLinePunct w:val="0"/>
        <w:autoSpaceDE/>
        <w:autoSpaceDN/>
        <w:bidi w:val="0"/>
        <w:adjustRightInd/>
        <w:snapToGrid/>
        <w:spacing w:before="0" w:after="0" w:line="560" w:lineRule="exact"/>
        <w:ind w:left="0" w:leftChars="0" w:right="0" w:rightChars="0" w:firstLine="642" w:firstLineChars="200"/>
        <w:textAlignment w:val="auto"/>
        <w:outlineLvl w:val="9"/>
        <w:rPr>
          <w:rFonts w:hint="eastAsia" w:ascii="仿宋_GB2312" w:hAnsi="仿宋_GB2312" w:eastAsia="仿宋_GB2312" w:cs="仿宋_GB2312"/>
          <w:color w:val="auto"/>
          <w:sz w:val="32"/>
          <w:szCs w:val="32"/>
          <w:highlight w:val="none"/>
          <w:u w:val="none" w:color="auto"/>
        </w:rPr>
      </w:pPr>
      <w:r>
        <w:rPr>
          <w:rFonts w:hint="eastAsia" w:ascii="楷体" w:hAnsi="楷体" w:eastAsia="楷体" w:cs="楷体"/>
          <w:b/>
          <w:bCs/>
          <w:color w:val="auto"/>
          <w:kern w:val="2"/>
          <w:sz w:val="32"/>
          <w:szCs w:val="32"/>
          <w:highlight w:val="none"/>
          <w:u w:val="none" w:color="auto"/>
          <w:lang w:val="en-US" w:eastAsia="zh-CN" w:bidi="ar-SA"/>
        </w:rPr>
        <w:t>（七）公告及交易。</w:t>
      </w:r>
      <w:r>
        <w:rPr>
          <w:rFonts w:hint="eastAsia" w:ascii="仿宋_GB2312" w:hAnsi="仿宋_GB2312" w:eastAsia="仿宋_GB2312" w:cs="仿宋_GB2312"/>
          <w:color w:val="auto"/>
          <w:sz w:val="32"/>
          <w:szCs w:val="32"/>
          <w:highlight w:val="none"/>
          <w:u w:val="none" w:color="auto"/>
          <w:lang w:eastAsia="zh-CN"/>
        </w:rPr>
        <w:t>拟入股、联营的集体经营性建设用地</w:t>
      </w:r>
      <w:r>
        <w:rPr>
          <w:rFonts w:hint="eastAsia" w:ascii="仿宋_GB2312" w:hAnsi="仿宋_GB2312" w:eastAsia="仿宋_GB2312" w:cs="仿宋_GB2312"/>
          <w:color w:val="auto"/>
          <w:sz w:val="32"/>
          <w:szCs w:val="32"/>
          <w:highlight w:val="none"/>
          <w:u w:val="none" w:color="auto"/>
        </w:rPr>
        <w:t>以招标、拍卖、挂牌方式交易的，</w:t>
      </w:r>
      <w:r>
        <w:rPr>
          <w:rFonts w:hint="eastAsia" w:ascii="仿宋_GB2312" w:hAnsi="仿宋_GB2312" w:eastAsia="仿宋_GB2312" w:cs="仿宋_GB2312"/>
          <w:color w:val="auto"/>
          <w:sz w:val="32"/>
          <w:szCs w:val="32"/>
          <w:highlight w:val="none"/>
          <w:u w:val="none" w:color="auto"/>
          <w:lang w:eastAsia="zh-CN"/>
        </w:rPr>
        <w:t>入股、联营主体可委托</w:t>
      </w:r>
      <w:r>
        <w:rPr>
          <w:rFonts w:hint="eastAsia" w:ascii="仿宋_GB2312" w:hAnsi="仿宋_GB2312" w:eastAsia="仿宋_GB2312" w:cs="仿宋_GB2312"/>
          <w:color w:val="auto"/>
          <w:sz w:val="32"/>
          <w:szCs w:val="32"/>
          <w:highlight w:val="none"/>
          <w:u w:val="none" w:color="auto"/>
        </w:rPr>
        <w:t>市自然资源和规划部门</w:t>
      </w:r>
      <w:r>
        <w:rPr>
          <w:rFonts w:hint="eastAsia" w:ascii="仿宋_GB2312" w:hAnsi="仿宋_GB2312" w:eastAsia="仿宋_GB2312" w:cs="仿宋_GB2312"/>
          <w:color w:val="auto"/>
          <w:sz w:val="32"/>
          <w:szCs w:val="32"/>
          <w:highlight w:val="none"/>
          <w:u w:val="none" w:color="auto"/>
          <w:lang w:eastAsia="zh-CN"/>
        </w:rPr>
        <w:t>组织实施具体交易活动、编制交易文件，</w:t>
      </w:r>
      <w:r>
        <w:rPr>
          <w:rFonts w:hint="eastAsia" w:ascii="仿宋_GB2312" w:hAnsi="仿宋_GB2312" w:eastAsia="仿宋_GB2312" w:cs="仿宋_GB2312"/>
          <w:color w:val="auto"/>
          <w:sz w:val="32"/>
          <w:szCs w:val="32"/>
          <w:highlight w:val="none"/>
          <w:u w:val="none" w:color="auto"/>
        </w:rPr>
        <w:t>进入省级土地交易市场进行</w:t>
      </w:r>
      <w:r>
        <w:rPr>
          <w:rFonts w:hint="eastAsia" w:ascii="仿宋_GB2312" w:hAnsi="仿宋_GB2312" w:eastAsia="仿宋_GB2312" w:cs="仿宋_GB2312"/>
          <w:color w:val="auto"/>
          <w:sz w:val="32"/>
          <w:szCs w:val="32"/>
          <w:highlight w:val="none"/>
          <w:u w:val="none" w:color="auto"/>
          <w:lang w:eastAsia="zh-CN"/>
        </w:rPr>
        <w:t>网上交易</w:t>
      </w:r>
      <w:r>
        <w:rPr>
          <w:rFonts w:hint="eastAsia" w:ascii="仿宋_GB2312" w:hAnsi="仿宋_GB2312" w:eastAsia="仿宋_GB2312" w:cs="仿宋_GB2312"/>
          <w:color w:val="auto"/>
          <w:sz w:val="32"/>
          <w:szCs w:val="32"/>
          <w:highlight w:val="none"/>
          <w:u w:val="none" w:color="auto"/>
        </w:rPr>
        <w:t>。交易公告</w:t>
      </w:r>
      <w:r>
        <w:rPr>
          <w:rFonts w:hint="eastAsia" w:ascii="仿宋_GB2312" w:hAnsi="仿宋_GB2312" w:eastAsia="仿宋_GB2312" w:cs="仿宋_GB2312"/>
          <w:color w:val="auto"/>
          <w:sz w:val="32"/>
          <w:szCs w:val="32"/>
          <w:highlight w:val="none"/>
          <w:u w:val="none" w:color="auto"/>
          <w:lang w:eastAsia="zh-CN"/>
        </w:rPr>
        <w:t>应当</w:t>
      </w:r>
      <w:r>
        <w:rPr>
          <w:rFonts w:hint="eastAsia" w:ascii="仿宋_GB2312" w:hAnsi="仿宋_GB2312" w:eastAsia="仿宋_GB2312" w:cs="仿宋_GB2312"/>
          <w:color w:val="auto"/>
          <w:sz w:val="32"/>
          <w:szCs w:val="32"/>
          <w:highlight w:val="none"/>
          <w:u w:val="none" w:color="auto"/>
        </w:rPr>
        <w:t>在中国土地市场网、海南省公共资源交易服务中心网站</w:t>
      </w:r>
      <w:r>
        <w:rPr>
          <w:rFonts w:hint="eastAsia" w:ascii="仿宋_GB2312" w:hAnsi="仿宋_GB2312" w:eastAsia="仿宋_GB2312" w:cs="仿宋_GB2312"/>
          <w:color w:val="auto"/>
          <w:sz w:val="32"/>
          <w:szCs w:val="32"/>
          <w:highlight w:val="none"/>
          <w:u w:val="none" w:color="auto"/>
          <w:lang w:eastAsia="zh-CN"/>
        </w:rPr>
        <w:t>、</w:t>
      </w:r>
      <w:r>
        <w:rPr>
          <w:rFonts w:hint="eastAsia" w:ascii="仿宋_GB2312" w:hAnsi="仿宋_GB2312" w:eastAsia="仿宋_GB2312" w:cs="仿宋_GB2312"/>
          <w:color w:val="auto"/>
          <w:sz w:val="32"/>
          <w:szCs w:val="32"/>
          <w:highlight w:val="none"/>
          <w:u w:val="none" w:color="auto"/>
        </w:rPr>
        <w:t>省</w:t>
      </w:r>
      <w:r>
        <w:rPr>
          <w:rFonts w:hint="eastAsia" w:ascii="仿宋_GB2312" w:hAnsi="仿宋_GB2312" w:eastAsia="仿宋_GB2312" w:cs="仿宋_GB2312"/>
          <w:color w:val="auto"/>
          <w:sz w:val="32"/>
          <w:szCs w:val="32"/>
          <w:highlight w:val="none"/>
          <w:u w:val="none" w:color="auto"/>
          <w:lang w:eastAsia="zh-CN"/>
        </w:rPr>
        <w:t>自然资源和规划</w:t>
      </w:r>
      <w:r>
        <w:rPr>
          <w:rFonts w:hint="eastAsia" w:ascii="仿宋_GB2312" w:hAnsi="仿宋_GB2312" w:eastAsia="仿宋_GB2312" w:cs="仿宋_GB2312"/>
          <w:color w:val="auto"/>
          <w:sz w:val="32"/>
          <w:szCs w:val="32"/>
          <w:highlight w:val="none"/>
          <w:u w:val="none" w:color="auto"/>
        </w:rPr>
        <w:t>厅门户网站，以及本省主要媒体上发布。农村集体经营性建设用地入股、联营实行交易保证金制度，参照《招标拍卖挂牌出让国有建设用地使用权规定》（自然资源部39号令）执行。</w:t>
      </w:r>
    </w:p>
    <w:p>
      <w:pPr>
        <w:keepNext w:val="0"/>
        <w:keepLines w:val="0"/>
        <w:pageBreakBefore w:val="0"/>
        <w:widowControl/>
        <w:kinsoku/>
        <w:wordWrap/>
        <w:topLinePunct w:val="0"/>
        <w:autoSpaceDE/>
        <w:autoSpaceDN/>
        <w:bidi w:val="0"/>
        <w:adjustRightInd/>
        <w:snapToGrid/>
        <w:spacing w:before="0" w:line="560" w:lineRule="exact"/>
        <w:ind w:left="0" w:leftChars="0" w:right="0" w:rightChars="0" w:firstLine="481" w:firstLineChars="150"/>
        <w:textAlignment w:val="auto"/>
        <w:outlineLvl w:val="9"/>
        <w:rPr>
          <w:rFonts w:hint="eastAsia" w:ascii="仿宋_GB2312" w:hAnsi="仿宋_GB2312" w:eastAsia="仿宋_GB2312" w:cs="仿宋_GB2312"/>
          <w:color w:val="auto"/>
          <w:sz w:val="32"/>
          <w:szCs w:val="32"/>
          <w:highlight w:val="none"/>
          <w:u w:val="none" w:color="auto"/>
        </w:rPr>
      </w:pPr>
      <w:r>
        <w:rPr>
          <w:rFonts w:hint="eastAsia" w:ascii="楷体" w:hAnsi="楷体" w:eastAsia="楷体" w:cs="楷体"/>
          <w:b/>
          <w:bCs/>
          <w:color w:val="auto"/>
          <w:kern w:val="2"/>
          <w:sz w:val="32"/>
          <w:szCs w:val="32"/>
          <w:highlight w:val="none"/>
          <w:u w:val="none" w:color="auto"/>
          <w:lang w:val="en-US" w:eastAsia="zh-CN" w:bidi="ar-SA"/>
        </w:rPr>
        <w:t xml:space="preserve"> （八）签订成交确认书及公示。</w:t>
      </w:r>
      <w:r>
        <w:rPr>
          <w:rFonts w:hint="eastAsia" w:ascii="仿宋_GB2312" w:hAnsi="仿宋_GB2312" w:eastAsia="仿宋_GB2312" w:cs="仿宋_GB2312"/>
          <w:color w:val="auto"/>
          <w:sz w:val="32"/>
          <w:szCs w:val="32"/>
          <w:highlight w:val="none"/>
          <w:u w:val="none" w:color="auto"/>
        </w:rPr>
        <w:t>土地成交后，入股、联营</w:t>
      </w:r>
      <w:r>
        <w:rPr>
          <w:rFonts w:hint="eastAsia" w:ascii="仿宋_GB2312" w:hAnsi="仿宋_GB2312" w:eastAsia="仿宋_GB2312" w:cs="仿宋_GB2312"/>
          <w:color w:val="auto"/>
          <w:sz w:val="32"/>
          <w:szCs w:val="32"/>
          <w:highlight w:val="none"/>
          <w:u w:val="none" w:color="auto"/>
          <w:lang w:eastAsia="zh-CN"/>
        </w:rPr>
        <w:t>资格竞得人</w:t>
      </w:r>
      <w:r>
        <w:rPr>
          <w:rFonts w:hint="eastAsia" w:ascii="仿宋_GB2312" w:hAnsi="仿宋_GB2312" w:eastAsia="仿宋_GB2312" w:cs="仿宋_GB2312"/>
          <w:color w:val="auto"/>
          <w:sz w:val="32"/>
          <w:szCs w:val="32"/>
          <w:highlight w:val="none"/>
          <w:u w:val="none" w:color="auto"/>
        </w:rPr>
        <w:t>应当签订土地成交确认书。交易结果应当在集体经济组织事务公开栏和中国土地市场网、海南省公共资源交易服务中心网站</w:t>
      </w:r>
      <w:r>
        <w:rPr>
          <w:rFonts w:hint="eastAsia" w:ascii="仿宋_GB2312" w:hAnsi="仿宋_GB2312" w:eastAsia="仿宋_GB2312" w:cs="仿宋_GB2312"/>
          <w:color w:val="auto"/>
          <w:sz w:val="32"/>
          <w:szCs w:val="32"/>
          <w:highlight w:val="none"/>
          <w:u w:val="none" w:color="auto"/>
          <w:lang w:eastAsia="zh-CN"/>
        </w:rPr>
        <w:t>、</w:t>
      </w:r>
      <w:r>
        <w:rPr>
          <w:rFonts w:hint="eastAsia" w:ascii="仿宋_GB2312" w:hAnsi="仿宋_GB2312" w:eastAsia="仿宋_GB2312" w:cs="仿宋_GB2312"/>
          <w:color w:val="auto"/>
          <w:sz w:val="32"/>
          <w:szCs w:val="32"/>
          <w:highlight w:val="none"/>
          <w:u w:val="none" w:color="auto"/>
        </w:rPr>
        <w:t>省</w:t>
      </w:r>
      <w:r>
        <w:rPr>
          <w:rFonts w:hint="eastAsia" w:ascii="仿宋_GB2312" w:hAnsi="仿宋_GB2312" w:eastAsia="仿宋_GB2312" w:cs="仿宋_GB2312"/>
          <w:color w:val="auto"/>
          <w:sz w:val="32"/>
          <w:szCs w:val="32"/>
          <w:highlight w:val="none"/>
          <w:u w:val="none" w:color="auto"/>
          <w:lang w:eastAsia="zh-CN"/>
        </w:rPr>
        <w:t>自然资源和规划</w:t>
      </w:r>
      <w:r>
        <w:rPr>
          <w:rFonts w:hint="eastAsia" w:ascii="仿宋_GB2312" w:hAnsi="仿宋_GB2312" w:eastAsia="仿宋_GB2312" w:cs="仿宋_GB2312"/>
          <w:color w:val="auto"/>
          <w:sz w:val="32"/>
          <w:szCs w:val="32"/>
          <w:highlight w:val="none"/>
          <w:u w:val="none" w:color="auto"/>
        </w:rPr>
        <w:t>厅门户网站等进行公布，接受社会和群众监督。</w:t>
      </w:r>
    </w:p>
    <w:p>
      <w:pPr>
        <w:keepNext w:val="0"/>
        <w:keepLines w:val="0"/>
        <w:pageBreakBefore w:val="0"/>
        <w:widowControl/>
        <w:kinsoku/>
        <w:wordWrap/>
        <w:topLinePunct w:val="0"/>
        <w:autoSpaceDE/>
        <w:autoSpaceDN/>
        <w:bidi w:val="0"/>
        <w:adjustRightInd/>
        <w:snapToGrid/>
        <w:spacing w:before="0" w:line="560" w:lineRule="exact"/>
        <w:ind w:left="0" w:leftChars="0" w:right="0" w:rightChars="0" w:firstLine="642" w:firstLineChars="200"/>
        <w:textAlignment w:val="auto"/>
        <w:outlineLvl w:val="9"/>
        <w:rPr>
          <w:rFonts w:hint="eastAsia" w:ascii="仿宋_GB2312" w:hAnsi="仿宋_GB2312" w:eastAsia="仿宋_GB2312" w:cs="仿宋_GB2312"/>
          <w:color w:val="auto"/>
          <w:sz w:val="32"/>
          <w:szCs w:val="32"/>
          <w:highlight w:val="none"/>
          <w:u w:val="none" w:color="auto"/>
        </w:rPr>
      </w:pPr>
      <w:r>
        <w:rPr>
          <w:rFonts w:hint="eastAsia" w:ascii="楷体" w:hAnsi="楷体" w:eastAsia="楷体" w:cs="楷体"/>
          <w:b/>
          <w:bCs/>
          <w:color w:val="auto"/>
          <w:kern w:val="2"/>
          <w:sz w:val="32"/>
          <w:szCs w:val="32"/>
          <w:highlight w:val="none"/>
          <w:u w:val="none" w:color="auto"/>
          <w:lang w:val="en-US" w:eastAsia="zh-CN" w:bidi="ar-SA"/>
        </w:rPr>
        <w:t>（九）签订书面合同和三方监管协议。</w:t>
      </w:r>
      <w:r>
        <w:rPr>
          <w:rFonts w:hint="eastAsia" w:ascii="仿宋_GB2312" w:hAnsi="仿宋_GB2312" w:eastAsia="仿宋_GB2312" w:cs="仿宋_GB2312"/>
          <w:color w:val="auto"/>
          <w:sz w:val="32"/>
          <w:szCs w:val="32"/>
          <w:highlight w:val="none"/>
          <w:u w:val="none" w:color="auto"/>
        </w:rPr>
        <w:t>土地交易结束之日起20个工作日内，交易双方应当按照成交确认书的约定，</w:t>
      </w:r>
      <w:r>
        <w:rPr>
          <w:rFonts w:hint="eastAsia" w:ascii="仿宋_GB2312" w:hAnsi="仿宋_GB2312" w:eastAsia="仿宋_GB2312" w:cs="仿宋_GB2312"/>
          <w:color w:val="auto"/>
          <w:sz w:val="32"/>
          <w:szCs w:val="32"/>
          <w:highlight w:val="none"/>
          <w:u w:val="none" w:color="auto"/>
          <w:lang w:eastAsia="zh-CN"/>
        </w:rPr>
        <w:t>按照</w:t>
      </w:r>
      <w:r>
        <w:rPr>
          <w:rFonts w:hint="eastAsia" w:ascii="仿宋_GB2312" w:hAnsi="仿宋_GB2312" w:eastAsia="仿宋_GB2312" w:cs="仿宋_GB2312"/>
          <w:color w:val="auto"/>
          <w:sz w:val="32"/>
          <w:szCs w:val="32"/>
          <w:highlight w:val="none"/>
          <w:u w:val="none" w:color="auto"/>
        </w:rPr>
        <w:t>国家合同示范文本签订书面合同，</w:t>
      </w:r>
      <w:r>
        <w:rPr>
          <w:rFonts w:hint="eastAsia" w:ascii="仿宋_GB2312" w:hAnsi="仿宋_GB2312" w:eastAsia="仿宋_GB2312" w:cs="仿宋_GB2312"/>
          <w:color w:val="auto"/>
          <w:sz w:val="32"/>
          <w:szCs w:val="32"/>
          <w:highlight w:val="none"/>
          <w:u w:val="none" w:color="auto"/>
          <w:lang w:eastAsia="zh-CN"/>
        </w:rPr>
        <w:t>合同应</w:t>
      </w:r>
      <w:r>
        <w:rPr>
          <w:rFonts w:hint="eastAsia" w:ascii="仿宋_GB2312" w:hAnsi="仿宋_GB2312" w:eastAsia="仿宋_GB2312" w:cs="仿宋_GB2312"/>
          <w:color w:val="auto"/>
          <w:sz w:val="32"/>
          <w:szCs w:val="32"/>
          <w:highlight w:val="none"/>
          <w:u w:val="none" w:color="auto"/>
        </w:rPr>
        <w:t>载明土地界址、面积、用途、规划条件、使用期限、交易价款支付、交地时间和开竣工期限、产业准入和生态环境保护要求，约定提前收回的条件、补偿方式、土地使用权届满续期和地上建筑、构筑物等附着物处理方式，以及违约责任和解决争议的办法等，并报市自然资源和规划部门备案。未依法将规划条件、产业准入和生态环境保护要求纳入合同的，合同无效；造成损失的，依法承担民事责任。</w:t>
      </w:r>
    </w:p>
    <w:p>
      <w:pPr>
        <w:pStyle w:val="25"/>
        <w:keepNext w:val="0"/>
        <w:keepLines w:val="0"/>
        <w:pageBreakBefore w:val="0"/>
        <w:widowControl w:val="0"/>
        <w:kinsoku/>
        <w:wordWrap/>
        <w:overflowPunct w:val="0"/>
        <w:topLinePunct w:val="0"/>
        <w:autoSpaceDE/>
        <w:autoSpaceDN/>
        <w:bidi w:val="0"/>
        <w:adjustRightInd/>
        <w:snapToGrid/>
        <w:spacing w:before="0" w:after="0" w:afterLines="0"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u w:val="none" w:color="auto"/>
        </w:rPr>
      </w:pPr>
      <w:r>
        <w:rPr>
          <w:rFonts w:hint="eastAsia" w:ascii="仿宋_GB2312" w:hAnsi="仿宋_GB2312" w:eastAsia="仿宋_GB2312" w:cs="仿宋_GB2312"/>
          <w:color w:val="auto"/>
          <w:sz w:val="32"/>
          <w:szCs w:val="32"/>
          <w:highlight w:val="none"/>
          <w:u w:val="none" w:color="auto"/>
        </w:rPr>
        <w:t>在签订书面合同的同时，本着平等、自愿、诚信、守约的原则，由交易双方、</w:t>
      </w:r>
      <w:r>
        <w:rPr>
          <w:rFonts w:hint="eastAsia" w:ascii="仿宋_GB2312" w:hAnsi="仿宋_GB2312" w:eastAsia="仿宋_GB2312" w:cs="仿宋_GB2312"/>
          <w:color w:val="auto"/>
          <w:sz w:val="32"/>
          <w:szCs w:val="32"/>
          <w:highlight w:val="none"/>
          <w:u w:val="none" w:color="auto"/>
          <w:lang w:eastAsia="zh-CN"/>
        </w:rPr>
        <w:t>行业</w:t>
      </w:r>
      <w:r>
        <w:rPr>
          <w:rFonts w:hint="eastAsia" w:ascii="仿宋_GB2312" w:hAnsi="仿宋_GB2312" w:eastAsia="仿宋_GB2312" w:cs="仿宋_GB2312"/>
          <w:color w:val="auto"/>
          <w:sz w:val="32"/>
          <w:szCs w:val="32"/>
          <w:highlight w:val="none"/>
          <w:u w:val="none" w:color="auto"/>
        </w:rPr>
        <w:t>主管部门</w:t>
      </w:r>
      <w:r>
        <w:rPr>
          <w:rFonts w:hint="eastAsia" w:ascii="仿宋_GB2312" w:hAnsi="仿宋_GB2312" w:eastAsia="仿宋_GB2312" w:cs="仿宋_GB2312"/>
          <w:color w:val="auto"/>
          <w:sz w:val="32"/>
          <w:szCs w:val="32"/>
          <w:highlight w:val="none"/>
          <w:u w:val="none" w:color="auto"/>
          <w:lang w:eastAsia="zh-CN"/>
        </w:rPr>
        <w:t>签订三方监管协议，</w:t>
      </w:r>
      <w:r>
        <w:rPr>
          <w:rFonts w:hint="eastAsia" w:ascii="仿宋_GB2312" w:hAnsi="仿宋_GB2312" w:eastAsia="仿宋_GB2312" w:cs="仿宋_GB2312"/>
          <w:color w:val="auto"/>
          <w:sz w:val="32"/>
          <w:szCs w:val="32"/>
          <w:highlight w:val="none"/>
          <w:u w:val="none" w:color="auto"/>
        </w:rPr>
        <w:t>明确政府</w:t>
      </w:r>
      <w:r>
        <w:rPr>
          <w:rFonts w:hint="eastAsia" w:ascii="仿宋_GB2312" w:hAnsi="仿宋_GB2312" w:eastAsia="仿宋_GB2312" w:cs="仿宋_GB2312"/>
          <w:color w:val="auto"/>
          <w:sz w:val="32"/>
          <w:szCs w:val="32"/>
          <w:highlight w:val="none"/>
          <w:u w:val="none" w:color="auto"/>
          <w:lang w:eastAsia="zh-CN"/>
        </w:rPr>
        <w:t>和</w:t>
      </w:r>
      <w:r>
        <w:rPr>
          <w:rFonts w:hint="eastAsia" w:ascii="仿宋_GB2312" w:hAnsi="仿宋_GB2312" w:eastAsia="仿宋_GB2312" w:cs="仿宋_GB2312"/>
          <w:color w:val="auto"/>
          <w:sz w:val="32"/>
          <w:szCs w:val="32"/>
          <w:highlight w:val="none"/>
          <w:u w:val="none" w:color="auto"/>
        </w:rPr>
        <w:t>交易双方的权利和义务。</w:t>
      </w:r>
    </w:p>
    <w:p>
      <w:pPr>
        <w:pStyle w:val="25"/>
        <w:keepNext w:val="0"/>
        <w:keepLines w:val="0"/>
        <w:pageBreakBefore w:val="0"/>
        <w:widowControl w:val="0"/>
        <w:kinsoku/>
        <w:wordWrap/>
        <w:overflowPunct w:val="0"/>
        <w:topLinePunct w:val="0"/>
        <w:autoSpaceDE/>
        <w:autoSpaceDN/>
        <w:bidi w:val="0"/>
        <w:adjustRightInd/>
        <w:snapToGrid/>
        <w:spacing w:before="0" w:after="0" w:afterLines="0" w:line="560" w:lineRule="exact"/>
        <w:ind w:left="0" w:leftChars="0" w:right="0" w:rightChars="0" w:firstLine="642" w:firstLineChars="200"/>
        <w:textAlignment w:val="auto"/>
        <w:outlineLvl w:val="9"/>
        <w:rPr>
          <w:rFonts w:hint="eastAsia" w:ascii="仿宋_GB2312" w:hAnsi="仿宋_GB2312" w:eastAsia="仿宋_GB2312" w:cs="仿宋_GB2312"/>
          <w:color w:val="auto"/>
          <w:sz w:val="32"/>
          <w:szCs w:val="32"/>
          <w:highlight w:val="none"/>
          <w:u w:val="none" w:color="auto"/>
        </w:rPr>
      </w:pPr>
      <w:r>
        <w:rPr>
          <w:rFonts w:hint="eastAsia" w:ascii="楷体" w:hAnsi="楷体" w:eastAsia="楷体" w:cs="楷体"/>
          <w:b/>
          <w:bCs/>
          <w:color w:val="auto"/>
          <w:sz w:val="32"/>
          <w:szCs w:val="32"/>
          <w:highlight w:val="none"/>
          <w:u w:val="none" w:color="auto"/>
        </w:rPr>
        <w:t>（</w:t>
      </w:r>
      <w:r>
        <w:rPr>
          <w:rFonts w:hint="eastAsia" w:ascii="楷体" w:hAnsi="楷体" w:eastAsia="楷体" w:cs="楷体"/>
          <w:b/>
          <w:bCs/>
          <w:color w:val="auto"/>
          <w:sz w:val="32"/>
          <w:szCs w:val="32"/>
          <w:highlight w:val="none"/>
          <w:u w:val="none" w:color="auto"/>
          <w:lang w:eastAsia="zh-CN"/>
        </w:rPr>
        <w:t>十</w:t>
      </w:r>
      <w:r>
        <w:rPr>
          <w:rFonts w:hint="eastAsia" w:ascii="楷体" w:hAnsi="楷体" w:eastAsia="楷体" w:cs="楷体"/>
          <w:b/>
          <w:bCs/>
          <w:color w:val="auto"/>
          <w:sz w:val="32"/>
          <w:szCs w:val="32"/>
          <w:highlight w:val="none"/>
          <w:u w:val="none" w:color="auto"/>
        </w:rPr>
        <w:t>）不动产登记。</w:t>
      </w:r>
      <w:r>
        <w:rPr>
          <w:rFonts w:hint="eastAsia" w:ascii="仿宋_GB2312" w:hAnsi="仿宋_GB2312" w:eastAsia="仿宋_GB2312" w:cs="仿宋_GB2312"/>
          <w:color w:val="auto"/>
          <w:sz w:val="32"/>
          <w:szCs w:val="32"/>
          <w:highlight w:val="none"/>
          <w:u w:val="none" w:color="auto"/>
        </w:rPr>
        <w:t>交易双方应当依法缴纳相关税费，持入股、联营合同、土地增值收益调节金支付凭证以及纳税证明等向</w:t>
      </w:r>
      <w:r>
        <w:rPr>
          <w:rFonts w:hint="eastAsia" w:ascii="仿宋_GB2312" w:hAnsi="仿宋_GB2312" w:eastAsia="仿宋_GB2312" w:cs="仿宋_GB2312"/>
          <w:color w:val="auto"/>
          <w:sz w:val="32"/>
          <w:szCs w:val="32"/>
          <w:highlight w:val="none"/>
          <w:u w:val="none" w:color="auto"/>
          <w:lang w:eastAsia="zh-CN"/>
        </w:rPr>
        <w:t>市</w:t>
      </w:r>
      <w:r>
        <w:rPr>
          <w:rFonts w:hint="eastAsia" w:ascii="仿宋_GB2312" w:hAnsi="仿宋_GB2312" w:eastAsia="仿宋_GB2312" w:cs="仿宋_GB2312"/>
          <w:color w:val="auto"/>
          <w:sz w:val="32"/>
          <w:szCs w:val="32"/>
          <w:highlight w:val="none"/>
          <w:u w:val="none" w:color="auto"/>
        </w:rPr>
        <w:t>不动产登记</w:t>
      </w:r>
      <w:r>
        <w:rPr>
          <w:rFonts w:hint="eastAsia" w:ascii="仿宋_GB2312" w:hAnsi="仿宋_GB2312" w:eastAsia="仿宋_GB2312" w:cs="仿宋_GB2312"/>
          <w:color w:val="auto"/>
          <w:sz w:val="32"/>
          <w:szCs w:val="32"/>
          <w:highlight w:val="none"/>
          <w:u w:val="none" w:color="auto"/>
          <w:lang w:eastAsia="zh-CN"/>
        </w:rPr>
        <w:t>中心</w:t>
      </w:r>
      <w:r>
        <w:rPr>
          <w:rFonts w:hint="eastAsia" w:ascii="仿宋_GB2312" w:hAnsi="仿宋_GB2312" w:eastAsia="仿宋_GB2312" w:cs="仿宋_GB2312"/>
          <w:color w:val="auto"/>
          <w:sz w:val="32"/>
          <w:szCs w:val="32"/>
          <w:highlight w:val="none"/>
          <w:u w:val="none" w:color="auto"/>
        </w:rPr>
        <w:t>依法申请办理不动产登记。</w:t>
      </w:r>
    </w:p>
    <w:p>
      <w:pPr>
        <w:keepNext w:val="0"/>
        <w:keepLines w:val="0"/>
        <w:pageBreakBefore w:val="0"/>
        <w:widowControl/>
        <w:numPr>
          <w:ilvl w:val="0"/>
          <w:numId w:val="0"/>
        </w:numPr>
        <w:suppressLineNumbers w:val="0"/>
        <w:kinsoku/>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u w:val="none" w:color="auto"/>
          <w:lang w:eastAsia="zh-CN"/>
        </w:rPr>
      </w:pPr>
      <w:r>
        <w:rPr>
          <w:rFonts w:hint="eastAsia" w:ascii="仿宋_GB2312" w:hAnsi="仿宋_GB2312" w:eastAsia="仿宋_GB2312" w:cs="仿宋_GB2312"/>
          <w:color w:val="auto"/>
          <w:kern w:val="2"/>
          <w:sz w:val="32"/>
          <w:szCs w:val="32"/>
          <w:highlight w:val="none"/>
          <w:u w:val="none" w:color="auto"/>
        </w:rPr>
        <w:t>农村集体经营性建设用地入股、联营后原则上应当以宗地为单位整体登记，不得擅自改变用途或分割转让转租，入股、联营合同另有约定的除外</w:t>
      </w:r>
      <w:r>
        <w:rPr>
          <w:rFonts w:hint="eastAsia" w:ascii="仿宋_GB2312" w:hAnsi="仿宋_GB2312" w:eastAsia="仿宋_GB2312" w:cs="仿宋_GB2312"/>
          <w:color w:val="auto"/>
          <w:kern w:val="2"/>
          <w:sz w:val="32"/>
          <w:szCs w:val="32"/>
          <w:highlight w:val="none"/>
          <w:u w:val="none" w:color="auto"/>
          <w:lang w:eastAsia="zh-CN"/>
        </w:rPr>
        <w:t>。</w:t>
      </w:r>
    </w:p>
    <w:p>
      <w:pPr>
        <w:keepNext w:val="0"/>
        <w:keepLines w:val="0"/>
        <w:pageBreakBefore w:val="0"/>
        <w:widowControl/>
        <w:numPr>
          <w:ilvl w:val="0"/>
          <w:numId w:val="1"/>
        </w:numPr>
        <w:suppressLineNumbers w:val="0"/>
        <w:kinsoku/>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auto"/>
          <w:kern w:val="0"/>
          <w:sz w:val="32"/>
          <w:szCs w:val="32"/>
          <w:highlight w:val="none"/>
          <w:lang w:val="en-US" w:eastAsia="zh-CN" w:bidi="ar"/>
        </w:rPr>
      </w:pPr>
      <w:r>
        <w:rPr>
          <w:rFonts w:hint="eastAsia" w:ascii="黑体" w:hAnsi="黑体" w:eastAsia="黑体" w:cs="黑体"/>
          <w:b w:val="0"/>
          <w:bCs w:val="0"/>
          <w:color w:val="auto"/>
          <w:kern w:val="0"/>
          <w:sz w:val="32"/>
          <w:szCs w:val="32"/>
          <w:highlight w:val="none"/>
          <w:lang w:val="en-US" w:eastAsia="zh-CN" w:bidi="ar"/>
        </w:rPr>
        <w:t>土地增值收益调节金</w:t>
      </w:r>
    </w:p>
    <w:p>
      <w:pPr>
        <w:pStyle w:val="18"/>
        <w:keepNext w:val="0"/>
        <w:keepLines w:val="0"/>
        <w:pageBreakBefore w:val="0"/>
        <w:numPr>
          <w:ilvl w:val="0"/>
          <w:numId w:val="0"/>
        </w:numPr>
        <w:kinsoku/>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highlight w:val="none"/>
          <w:u w:val="none" w:color="auto"/>
          <w:lang w:val="en-US" w:eastAsia="zh-CN"/>
        </w:rPr>
      </w:pPr>
      <w:r>
        <w:rPr>
          <w:rFonts w:hint="eastAsia" w:ascii="仿宋_GB2312" w:hAnsi="仿宋_GB2312" w:eastAsia="仿宋_GB2312" w:cs="仿宋_GB2312"/>
          <w:color w:val="auto"/>
          <w:kern w:val="2"/>
          <w:sz w:val="32"/>
          <w:szCs w:val="32"/>
          <w:highlight w:val="none"/>
          <w:u w:val="none" w:color="auto"/>
          <w:lang w:val="en-US" w:eastAsia="zh-CN"/>
        </w:rPr>
        <w:t>（一）农村集体经营性建设用地使用权以入股、联营</w:t>
      </w:r>
      <w:r>
        <w:rPr>
          <w:rFonts w:hint="eastAsia" w:ascii="仿宋_GB2312" w:hAnsi="仿宋_GB2312" w:eastAsia="仿宋_GB2312" w:cs="仿宋_GB2312"/>
          <w:color w:val="auto"/>
          <w:kern w:val="2"/>
          <w:sz w:val="32"/>
          <w:szCs w:val="32"/>
          <w:highlight w:val="none"/>
          <w:u w:val="none" w:color="auto"/>
          <w:lang w:eastAsia="zh-CN"/>
        </w:rPr>
        <w:t>方式</w:t>
      </w:r>
      <w:r>
        <w:rPr>
          <w:rFonts w:hint="eastAsia" w:ascii="仿宋_GB2312" w:hAnsi="仿宋_GB2312" w:eastAsia="仿宋_GB2312" w:cs="仿宋_GB2312"/>
          <w:color w:val="auto"/>
          <w:kern w:val="2"/>
          <w:sz w:val="32"/>
          <w:szCs w:val="32"/>
          <w:highlight w:val="none"/>
          <w:u w:val="none" w:color="auto"/>
          <w:lang w:val="en-US" w:eastAsia="zh-CN"/>
        </w:rPr>
        <w:t>交易的，入股、联营主体应当缴纳土地增值收益调节金。</w:t>
      </w:r>
    </w:p>
    <w:p>
      <w:pPr>
        <w:pStyle w:val="18"/>
        <w:keepNext w:val="0"/>
        <w:keepLines w:val="0"/>
        <w:pageBreakBefore w:val="0"/>
        <w:numPr>
          <w:ilvl w:val="0"/>
          <w:numId w:val="0"/>
        </w:numPr>
        <w:kinsoku/>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highlight w:val="none"/>
          <w:u w:val="none" w:color="auto"/>
          <w:lang w:val="en-US" w:eastAsia="zh-CN"/>
        </w:rPr>
      </w:pPr>
      <w:r>
        <w:rPr>
          <w:rFonts w:hint="eastAsia" w:ascii="仿宋_GB2312" w:hAnsi="仿宋_GB2312" w:eastAsia="仿宋_GB2312" w:cs="仿宋_GB2312"/>
          <w:color w:val="auto"/>
          <w:kern w:val="2"/>
          <w:sz w:val="32"/>
          <w:szCs w:val="32"/>
          <w:highlight w:val="none"/>
          <w:u w:val="none" w:color="auto"/>
          <w:lang w:val="en-US" w:eastAsia="zh-CN"/>
        </w:rPr>
        <w:t>（二）土地增值收益调节金按照土地成交总价扣除土地取得成本及前期合理投入后的净收益的一定比例计提。原则上调节金按入市土地增值收益的20%-50%征收。</w:t>
      </w:r>
      <w:r>
        <w:rPr>
          <w:rFonts w:hint="eastAsia" w:ascii="仿宋_GB2312" w:hAnsi="仿宋_GB2312" w:eastAsia="仿宋_GB2312" w:cs="仿宋_GB2312"/>
          <w:color w:val="auto"/>
          <w:kern w:val="2"/>
          <w:sz w:val="32"/>
          <w:szCs w:val="32"/>
          <w:highlight w:val="none"/>
          <w:u w:val="none" w:color="auto"/>
          <w:lang w:val="en-US" w:eastAsia="zh-CN"/>
        </w:rPr>
        <w:t>入股、联营交易</w:t>
      </w:r>
      <w:r>
        <w:rPr>
          <w:rFonts w:hint="eastAsia" w:ascii="仿宋_GB2312" w:hAnsi="仿宋_GB2312" w:eastAsia="仿宋_GB2312" w:cs="仿宋_GB2312"/>
          <w:color w:val="auto"/>
          <w:kern w:val="2"/>
          <w:sz w:val="32"/>
          <w:szCs w:val="32"/>
          <w:highlight w:val="none"/>
          <w:u w:val="none" w:color="auto"/>
          <w:lang w:eastAsia="zh-CN"/>
        </w:rPr>
        <w:t>缴纳</w:t>
      </w:r>
      <w:r>
        <w:rPr>
          <w:rFonts w:hint="eastAsia" w:ascii="仿宋_GB2312" w:hAnsi="仿宋_GB2312" w:eastAsia="仿宋_GB2312" w:cs="仿宋_GB2312"/>
          <w:color w:val="auto"/>
          <w:kern w:val="2"/>
          <w:sz w:val="32"/>
          <w:szCs w:val="32"/>
          <w:highlight w:val="none"/>
          <w:u w:val="none" w:color="auto"/>
          <w:lang w:val="en-US" w:eastAsia="zh-CN"/>
        </w:rPr>
        <w:t>的土地增值收益调节金</w:t>
      </w:r>
      <w:r>
        <w:rPr>
          <w:rFonts w:hint="eastAsia" w:ascii="仿宋_GB2312" w:hAnsi="仿宋_GB2312" w:eastAsia="仿宋_GB2312" w:cs="仿宋_GB2312"/>
          <w:color w:val="auto"/>
          <w:kern w:val="2"/>
          <w:sz w:val="32"/>
          <w:szCs w:val="32"/>
          <w:highlight w:val="none"/>
          <w:u w:val="none" w:color="auto"/>
          <w:lang w:eastAsia="zh-CN"/>
        </w:rPr>
        <w:t>，市政府可根据</w:t>
      </w:r>
      <w:r>
        <w:rPr>
          <w:rFonts w:hint="eastAsia" w:ascii="仿宋_GB2312" w:hAnsi="仿宋_GB2312" w:eastAsia="仿宋_GB2312" w:cs="仿宋_GB2312"/>
          <w:color w:val="auto"/>
          <w:kern w:val="2"/>
          <w:sz w:val="32"/>
          <w:szCs w:val="32"/>
          <w:highlight w:val="none"/>
          <w:u w:val="none" w:color="auto"/>
          <w:lang w:val="en-US" w:eastAsia="zh-CN"/>
        </w:rPr>
        <w:t>入股、联营交易</w:t>
      </w:r>
      <w:r>
        <w:rPr>
          <w:rFonts w:hint="eastAsia" w:ascii="仿宋_GB2312" w:hAnsi="仿宋_GB2312" w:eastAsia="仿宋_GB2312" w:cs="仿宋_GB2312"/>
          <w:color w:val="auto"/>
          <w:kern w:val="2"/>
          <w:sz w:val="32"/>
          <w:szCs w:val="32"/>
          <w:highlight w:val="none"/>
          <w:u w:val="none" w:color="auto"/>
          <w:lang w:eastAsia="zh-CN"/>
        </w:rPr>
        <w:t>所在村集体的乡村振兴工作和产业发展情况，适当返还支持村集体用于乡村振兴和产业发展工作。</w:t>
      </w:r>
    </w:p>
    <w:p>
      <w:pPr>
        <w:pStyle w:val="18"/>
        <w:keepNext w:val="0"/>
        <w:keepLines w:val="0"/>
        <w:pageBreakBefore w:val="0"/>
        <w:numPr>
          <w:ilvl w:val="0"/>
          <w:numId w:val="0"/>
        </w:numPr>
        <w:kinsoku/>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highlight w:val="none"/>
          <w:u w:val="none" w:color="auto"/>
          <w:lang w:val="en-US" w:eastAsia="zh-CN"/>
        </w:rPr>
      </w:pPr>
      <w:r>
        <w:rPr>
          <w:rFonts w:hint="eastAsia" w:ascii="仿宋_GB2312" w:hAnsi="仿宋_GB2312" w:eastAsia="仿宋_GB2312" w:cs="仿宋_GB2312"/>
          <w:color w:val="auto"/>
          <w:kern w:val="2"/>
          <w:sz w:val="32"/>
          <w:szCs w:val="32"/>
          <w:highlight w:val="none"/>
          <w:u w:val="none" w:color="auto"/>
          <w:lang w:val="en-US" w:eastAsia="zh-CN"/>
        </w:rPr>
        <w:t>（三）入股、联营资格竞得人可以代入股、联营主体向市自然资源和规划部门指定的账户缴纳土地增值收益调节金。</w:t>
      </w:r>
    </w:p>
    <w:p>
      <w:pPr>
        <w:keepNext w:val="0"/>
        <w:keepLines w:val="0"/>
        <w:pageBreakBefore w:val="0"/>
        <w:widowControl/>
        <w:numPr>
          <w:ilvl w:val="0"/>
          <w:numId w:val="1"/>
        </w:numPr>
        <w:suppressLineNumbers w:val="0"/>
        <w:kinsoku/>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auto"/>
          <w:kern w:val="0"/>
          <w:sz w:val="32"/>
          <w:szCs w:val="32"/>
          <w:highlight w:val="none"/>
          <w:lang w:val="en-US" w:eastAsia="zh-CN" w:bidi="ar"/>
        </w:rPr>
      </w:pPr>
      <w:r>
        <w:rPr>
          <w:rFonts w:hint="eastAsia" w:ascii="黑体" w:hAnsi="黑体" w:eastAsia="黑体" w:cs="黑体"/>
          <w:b w:val="0"/>
          <w:bCs w:val="0"/>
          <w:color w:val="auto"/>
          <w:kern w:val="0"/>
          <w:sz w:val="32"/>
          <w:szCs w:val="32"/>
          <w:highlight w:val="none"/>
          <w:lang w:val="en-US" w:eastAsia="zh-CN" w:bidi="ar"/>
        </w:rPr>
        <w:t>相关方职责</w:t>
      </w:r>
    </w:p>
    <w:p>
      <w:pPr>
        <w:keepNext w:val="0"/>
        <w:keepLines w:val="0"/>
        <w:pageBreakBefore w:val="0"/>
        <w:widowControl/>
        <w:numPr>
          <w:ilvl w:val="0"/>
          <w:numId w:val="2"/>
        </w:numPr>
        <w:suppressLineNumbers w:val="0"/>
        <w:kinsoku/>
        <w:topLinePunct w:val="0"/>
        <w:autoSpaceDE/>
        <w:autoSpaceDN/>
        <w:bidi w:val="0"/>
        <w:adjustRightInd/>
        <w:snapToGrid/>
        <w:spacing w:line="560" w:lineRule="exact"/>
        <w:ind w:left="0" w:leftChars="0" w:firstLine="642"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楷体" w:hAnsi="楷体" w:eastAsia="楷体" w:cs="楷体"/>
          <w:b/>
          <w:bCs/>
          <w:color w:val="auto"/>
          <w:kern w:val="0"/>
          <w:sz w:val="32"/>
          <w:szCs w:val="32"/>
          <w:highlight w:val="none"/>
          <w:lang w:val="en-US" w:eastAsia="zh-CN" w:bidi="ar"/>
        </w:rPr>
        <w:t>市自然资源和规划局。</w:t>
      </w:r>
      <w:r>
        <w:rPr>
          <w:rFonts w:hint="eastAsia" w:ascii="仿宋_GB2312" w:hAnsi="仿宋_GB2312" w:eastAsia="仿宋_GB2312" w:cs="仿宋_GB2312"/>
          <w:color w:val="auto"/>
          <w:kern w:val="0"/>
          <w:sz w:val="32"/>
          <w:szCs w:val="32"/>
          <w:highlight w:val="none"/>
          <w:lang w:val="en-US" w:eastAsia="zh-CN" w:bidi="ar"/>
        </w:rPr>
        <w:t>负责方案实施过程中的政策解读、过程指导、程序监督；审查</w:t>
      </w:r>
      <w:r>
        <w:rPr>
          <w:rFonts w:hint="eastAsia" w:ascii="仿宋_GB2312" w:hAnsi="仿宋_GB2312" w:eastAsia="仿宋_GB2312" w:cs="仿宋_GB2312"/>
          <w:color w:val="auto"/>
          <w:kern w:val="2"/>
          <w:sz w:val="32"/>
          <w:szCs w:val="32"/>
          <w:highlight w:val="none"/>
          <w:u w:val="none" w:color="auto"/>
          <w:lang w:val="en-US" w:eastAsia="zh-CN"/>
        </w:rPr>
        <w:t>入股、联营</w:t>
      </w:r>
      <w:r>
        <w:rPr>
          <w:rFonts w:hint="eastAsia" w:ascii="仿宋_GB2312" w:hAnsi="仿宋_GB2312" w:eastAsia="仿宋_GB2312" w:cs="仿宋_GB2312"/>
          <w:color w:val="auto"/>
          <w:kern w:val="0"/>
          <w:sz w:val="32"/>
          <w:szCs w:val="32"/>
          <w:highlight w:val="none"/>
          <w:lang w:val="en-US" w:eastAsia="zh-CN" w:bidi="ar"/>
        </w:rPr>
        <w:t>宗地情况及</w:t>
      </w:r>
      <w:r>
        <w:rPr>
          <w:rFonts w:hint="eastAsia" w:ascii="仿宋_GB2312" w:hAnsi="仿宋_GB2312" w:eastAsia="仿宋_GB2312" w:cs="仿宋_GB2312"/>
          <w:color w:val="auto"/>
          <w:kern w:val="2"/>
          <w:sz w:val="32"/>
          <w:szCs w:val="32"/>
          <w:highlight w:val="none"/>
          <w:u w:val="none" w:color="auto"/>
          <w:lang w:val="en-US" w:eastAsia="zh-CN"/>
        </w:rPr>
        <w:t>入股、联营</w:t>
      </w:r>
      <w:r>
        <w:rPr>
          <w:rFonts w:hint="eastAsia" w:ascii="仿宋_GB2312" w:hAnsi="仿宋_GB2312" w:eastAsia="仿宋_GB2312" w:cs="仿宋_GB2312"/>
          <w:color w:val="auto"/>
          <w:kern w:val="0"/>
          <w:sz w:val="32"/>
          <w:szCs w:val="32"/>
          <w:highlight w:val="none"/>
          <w:lang w:val="en-US" w:eastAsia="zh-CN" w:bidi="ar"/>
        </w:rPr>
        <w:t>方案；组织实施具体交易活动等。</w:t>
      </w:r>
    </w:p>
    <w:p>
      <w:pPr>
        <w:keepNext w:val="0"/>
        <w:keepLines w:val="0"/>
        <w:pageBreakBefore w:val="0"/>
        <w:widowControl/>
        <w:numPr>
          <w:ilvl w:val="0"/>
          <w:numId w:val="2"/>
        </w:numPr>
        <w:suppressLineNumbers w:val="0"/>
        <w:kinsoku/>
        <w:topLinePunct w:val="0"/>
        <w:autoSpaceDE/>
        <w:autoSpaceDN/>
        <w:bidi w:val="0"/>
        <w:adjustRightInd/>
        <w:snapToGrid/>
        <w:spacing w:line="560" w:lineRule="exact"/>
        <w:ind w:left="0" w:leftChars="0" w:firstLine="642"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楷体" w:hAnsi="楷体" w:eastAsia="楷体" w:cs="楷体"/>
          <w:b/>
          <w:bCs/>
          <w:color w:val="auto"/>
          <w:kern w:val="0"/>
          <w:sz w:val="32"/>
          <w:szCs w:val="32"/>
          <w:highlight w:val="none"/>
          <w:lang w:val="en-US" w:eastAsia="zh-CN" w:bidi="ar"/>
        </w:rPr>
        <w:t>乡镇人民政府。</w:t>
      </w:r>
      <w:r>
        <w:rPr>
          <w:rFonts w:hint="eastAsia" w:ascii="仿宋_GB2312" w:hAnsi="仿宋_GB2312" w:eastAsia="仿宋_GB2312" w:cs="仿宋_GB2312"/>
          <w:color w:val="auto"/>
          <w:kern w:val="0"/>
          <w:sz w:val="32"/>
          <w:szCs w:val="32"/>
          <w:highlight w:val="none"/>
          <w:lang w:val="en-US" w:eastAsia="zh-CN" w:bidi="ar"/>
        </w:rPr>
        <w:t>对拟</w:t>
      </w:r>
      <w:r>
        <w:rPr>
          <w:rFonts w:hint="eastAsia" w:ascii="仿宋_GB2312" w:hAnsi="仿宋_GB2312" w:eastAsia="仿宋_GB2312" w:cs="仿宋_GB2312"/>
          <w:color w:val="auto"/>
          <w:kern w:val="2"/>
          <w:sz w:val="32"/>
          <w:szCs w:val="32"/>
          <w:highlight w:val="none"/>
          <w:u w:val="none" w:color="auto"/>
          <w:lang w:val="en-US" w:eastAsia="zh-CN"/>
        </w:rPr>
        <w:t>入股、联营</w:t>
      </w:r>
      <w:r>
        <w:rPr>
          <w:rFonts w:hint="eastAsia" w:ascii="仿宋_GB2312" w:hAnsi="仿宋_GB2312" w:eastAsia="仿宋_GB2312" w:cs="仿宋_GB2312"/>
          <w:color w:val="auto"/>
          <w:kern w:val="0"/>
          <w:sz w:val="32"/>
          <w:szCs w:val="32"/>
          <w:highlight w:val="none"/>
          <w:lang w:val="en-US" w:eastAsia="zh-CN" w:bidi="ar"/>
        </w:rPr>
        <w:t>地块情况进行初审，负责监督</w:t>
      </w:r>
      <w:r>
        <w:rPr>
          <w:rFonts w:hint="eastAsia" w:ascii="仿宋_GB2312" w:hAnsi="仿宋_GB2312" w:eastAsia="仿宋_GB2312" w:cs="仿宋_GB2312"/>
          <w:color w:val="auto"/>
          <w:kern w:val="2"/>
          <w:sz w:val="32"/>
          <w:szCs w:val="32"/>
          <w:highlight w:val="none"/>
          <w:u w:val="none" w:color="auto"/>
          <w:lang w:val="en-US" w:eastAsia="zh-CN"/>
        </w:rPr>
        <w:t>入股、联营</w:t>
      </w:r>
      <w:r>
        <w:rPr>
          <w:rFonts w:hint="eastAsia" w:ascii="仿宋_GB2312" w:hAnsi="仿宋_GB2312" w:eastAsia="仿宋_GB2312" w:cs="仿宋_GB2312"/>
          <w:color w:val="auto"/>
          <w:kern w:val="0"/>
          <w:sz w:val="32"/>
          <w:szCs w:val="32"/>
          <w:highlight w:val="none"/>
          <w:lang w:val="en-US" w:eastAsia="zh-CN" w:bidi="ar"/>
        </w:rPr>
        <w:t>地块股权分红支付使用，确保农民基本利益得到实现；组织村级集体经济组织召开村民大会及相关协调会议；负责指导协调对接</w:t>
      </w:r>
      <w:r>
        <w:rPr>
          <w:rFonts w:hint="eastAsia" w:ascii="仿宋_GB2312" w:hAnsi="仿宋_GB2312" w:eastAsia="仿宋_GB2312" w:cs="仿宋_GB2312"/>
          <w:color w:val="auto"/>
          <w:kern w:val="2"/>
          <w:sz w:val="32"/>
          <w:szCs w:val="32"/>
          <w:highlight w:val="none"/>
          <w:u w:val="none" w:color="auto"/>
          <w:lang w:val="en-US" w:eastAsia="zh-CN"/>
        </w:rPr>
        <w:t>入股、联营</w:t>
      </w:r>
      <w:r>
        <w:rPr>
          <w:rFonts w:hint="eastAsia" w:ascii="仿宋_GB2312" w:hAnsi="仿宋_GB2312" w:eastAsia="仿宋_GB2312" w:cs="仿宋_GB2312"/>
          <w:color w:val="auto"/>
          <w:kern w:val="0"/>
          <w:sz w:val="32"/>
          <w:szCs w:val="32"/>
          <w:highlight w:val="none"/>
          <w:lang w:val="en-US" w:eastAsia="zh-CN" w:bidi="ar"/>
        </w:rPr>
        <w:t>地块交易双方后期举办企业、股权比例确定及运营管理等相关工作。</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楷体" w:hAnsi="楷体" w:eastAsia="楷体" w:cs="楷体"/>
          <w:b/>
          <w:bCs/>
          <w:color w:val="auto"/>
          <w:sz w:val="32"/>
          <w:szCs w:val="32"/>
          <w:highlight w:val="none"/>
          <w:lang w:val="en-US" w:eastAsia="zh-CN"/>
        </w:rPr>
        <w:t>（三）行业主管部门。</w:t>
      </w:r>
      <w:r>
        <w:rPr>
          <w:rFonts w:hint="eastAsia" w:ascii="仿宋_GB2312" w:hAnsi="仿宋_GB2312" w:eastAsia="仿宋_GB2312" w:cs="仿宋_GB2312"/>
          <w:color w:val="auto"/>
          <w:sz w:val="32"/>
          <w:szCs w:val="32"/>
          <w:highlight w:val="none"/>
          <w:lang w:val="en-US" w:eastAsia="zh-CN"/>
        </w:rPr>
        <w:t>依据农村集体经营性建设用地开发利用要求，本着平等、自愿、诚信、守约的原则，由交易双方、行业主管部门签订三方监管协议，明确政府和交易双方的权利和义务；推动交易双方共办企业完成注册登记；负责指导协调共办企业后续经营管理等相关工作。</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color w:val="000000"/>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color w:val="000000"/>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263" w:firstLineChars="100"/>
        <w:textAlignment w:val="auto"/>
        <w:rPr>
          <w:rFonts w:hint="default" w:ascii="仿宋_GB2312" w:hAnsi="仿宋_GB2312" w:eastAsia="仿宋_GB2312" w:cs="仿宋_GB2312"/>
          <w:w w:val="94"/>
          <w:sz w:val="28"/>
          <w:szCs w:val="28"/>
        </w:rPr>
      </w:pPr>
      <w:r>
        <w:rPr>
          <w:rFonts w:hint="eastAsia" w:ascii="宋体" w:hAnsi="宋体" w:cs="宋体"/>
          <w:w w:val="94"/>
          <w:sz w:val="28"/>
          <w:szCs w:val="28"/>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26035</wp:posOffset>
                </wp:positionV>
                <wp:extent cx="5600700" cy="635"/>
                <wp:effectExtent l="0" t="0" r="0" b="0"/>
                <wp:wrapNone/>
                <wp:docPr id="8" name="直接连接符 8"/>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0.35pt;margin-top:2.05pt;height:0.05pt;width:441pt;z-index:251662336;mso-width-relative:page;mso-height-relative:page;" filled="f" stroked="t" coordsize="21600,21600" o:gfxdata="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">
                <v:fill on="f" focussize="0,0"/>
                <v:stroke color="#000000" joinstyle="round"/>
                <v:imagedata o:title=""/>
                <o:lock v:ext="edit" aspectratio="f"/>
              </v:line>
            </w:pict>
          </mc:Fallback>
        </mc:AlternateContent>
      </w:r>
      <w:r>
        <w:rPr>
          <w:rFonts w:hint="eastAsia" w:ascii="仿宋_GB2312" w:hAnsi="仿宋_GB2312" w:eastAsia="仿宋_GB2312" w:cs="仿宋_GB2312"/>
          <w:w w:val="94"/>
          <w:sz w:val="28"/>
          <w:szCs w:val="28"/>
        </w:rPr>
        <w:t>抄送：市委各部门，市人大办，市政协办，</w:t>
      </w:r>
      <w:r>
        <w:rPr>
          <w:rFonts w:hint="default" w:ascii="仿宋_GB2312" w:hAnsi="仿宋_GB2312" w:eastAsia="仿宋_GB2312" w:cs="仿宋_GB2312"/>
          <w:w w:val="94"/>
          <w:sz w:val="28"/>
          <w:szCs w:val="28"/>
        </w:rPr>
        <w:t>市法院，市检察院，市人武部，</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1064" w:firstLineChars="400"/>
        <w:textAlignment w:val="auto"/>
        <w:rPr>
          <w:rFonts w:hint="eastAsia"/>
          <w:color w:val="000000"/>
          <w:w w:val="95"/>
          <w:sz w:val="28"/>
          <w:szCs w:val="28"/>
          <w:highlight w:val="none"/>
          <w:lang w:val="en-US" w:eastAsia="zh-CN"/>
        </w:rPr>
      </w:pPr>
      <w:r>
        <w:rPr>
          <w:rFonts w:hint="default" w:ascii="仿宋_GB2312" w:hAnsi="仿宋_GB2312" w:eastAsia="仿宋_GB2312" w:cs="仿宋_GB2312"/>
          <w:w w:val="95"/>
          <w:sz w:val="28"/>
          <w:szCs w:val="28"/>
        </w:rPr>
        <w:t>各人民团体和民主党派市委，省</w:t>
      </w:r>
      <w:r>
        <w:rPr>
          <w:rFonts w:hint="eastAsia" w:ascii="仿宋_GB2312" w:hAnsi="仿宋_GB2312" w:eastAsia="仿宋_GB2312" w:cs="仿宋_GB2312"/>
          <w:w w:val="95"/>
          <w:sz w:val="28"/>
          <w:szCs w:val="28"/>
        </w:rPr>
        <w:t>驻万</w:t>
      </w:r>
      <w:r>
        <w:rPr>
          <w:rFonts w:hint="default" w:ascii="仿宋_GB2312" w:hAnsi="仿宋_GB2312" w:eastAsia="仿宋_GB2312" w:cs="仿宋_GB2312"/>
          <w:w w:val="95"/>
          <w:sz w:val="28"/>
          <w:szCs w:val="28"/>
        </w:rPr>
        <w:t>各</w:t>
      </w:r>
      <w:r>
        <w:rPr>
          <w:rFonts w:hint="eastAsia" w:ascii="仿宋_GB2312" w:hAnsi="仿宋_GB2312" w:eastAsia="仿宋_GB2312" w:cs="仿宋_GB2312"/>
          <w:w w:val="95"/>
          <w:sz w:val="28"/>
          <w:szCs w:val="28"/>
        </w:rPr>
        <w:t>单位。</w:t>
      </w:r>
    </w:p>
    <w:p>
      <w:pPr>
        <w:keepNext w:val="0"/>
        <w:keepLines w:val="0"/>
        <w:pageBreakBefore w:val="0"/>
        <w:widowControl w:val="0"/>
        <w:kinsoku/>
        <w:wordWrap/>
        <w:overflowPunct/>
        <w:topLinePunct w:val="0"/>
        <w:autoSpaceDE/>
        <w:autoSpaceDN/>
        <w:bidi w:val="0"/>
        <w:adjustRightInd/>
        <w:snapToGrid/>
        <w:spacing w:after="0" w:line="560" w:lineRule="exact"/>
        <w:ind w:firstLine="280" w:firstLineChars="100"/>
        <w:textAlignment w:val="auto"/>
        <w:outlineLvl w:val="9"/>
        <w:rPr>
          <w:rFonts w:hint="eastAsia"/>
          <w:lang w:val="en-US" w:eastAsia="zh-CN"/>
        </w:rPr>
      </w:pPr>
      <w:r>
        <w:rPr>
          <w:rFonts w:hint="eastAsia" w:ascii="宋体" w:hAnsi="宋体" w:cs="宋体"/>
          <w:sz w:val="28"/>
          <w:szCs w:val="28"/>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38735</wp:posOffset>
                </wp:positionV>
                <wp:extent cx="560070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1.1pt;margin-top:3.05pt;height:0.05pt;width:441pt;z-index:251660288;mso-width-relative:page;mso-height-relative:page;" filled="f" stroked="t" coordsize="21600,21600" o:gfxdata="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">
                <v:fill on="f" focussize="0,0"/>
                <v:stroke color="#000000" joinstyle="round"/>
                <v:imagedata o:title=""/>
                <o:lock v:ext="edit" aspectratio="f"/>
              </v:line>
            </w:pict>
          </mc:Fallback>
        </mc:AlternateContent>
      </w:r>
      <w:r>
        <w:rPr>
          <w:rFonts w:hint="eastAsia" w:ascii="宋体" w:hAnsi="宋体" w:cs="宋体"/>
          <w:sz w:val="28"/>
          <w:szCs w:val="28"/>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410210</wp:posOffset>
                </wp:positionV>
                <wp:extent cx="560070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1.1pt;margin-top:32.3pt;height:0.05pt;width:441pt;z-index:251661312;mso-width-relative:page;mso-height-relative:page;" filled="f" stroked="t" coordsize="21600,21600" o:gfxdata="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">
                <v:fill on="f" focussize="0,0"/>
                <v:stroke color="#000000" joinstyle="round"/>
                <v:imagedata o:title=""/>
                <o:lock v:ext="edit" aspectratio="f"/>
              </v:line>
            </w:pict>
          </mc:Fallback>
        </mc:AlternateContent>
      </w:r>
      <w:r>
        <w:rPr>
          <w:rFonts w:hint="eastAsia" w:ascii="仿宋_GB2312" w:hAnsi="宋体" w:eastAsia="仿宋_GB2312" w:cs="宋体"/>
          <w:sz w:val="28"/>
          <w:szCs w:val="28"/>
        </w:rPr>
        <w:t xml:space="preserve">万宁市人民政府办公室       </w:t>
      </w:r>
      <w:r>
        <w:rPr>
          <w:rFonts w:hint="eastAsia" w:ascii="仿宋_GB2312" w:hAnsi="宋体" w:eastAsia="仿宋_GB2312" w:cs="宋体"/>
          <w:sz w:val="28"/>
          <w:szCs w:val="28"/>
          <w:lang w:val="en-US" w:eastAsia="zh-CN"/>
        </w:rPr>
        <w:t xml:space="preserve">    </w:t>
      </w:r>
      <w:r>
        <w:rPr>
          <w:rFonts w:hint="eastAsia" w:ascii="仿宋_GB2312" w:hAnsi="宋体" w:eastAsia="仿宋_GB2312" w:cs="宋体"/>
          <w:sz w:val="28"/>
          <w:szCs w:val="28"/>
        </w:rPr>
        <w:t xml:space="preserve"> </w:t>
      </w:r>
      <w:r>
        <w:rPr>
          <w:rFonts w:hint="eastAsia" w:ascii="仿宋_GB2312" w:hAnsi="宋体" w:eastAsia="仿宋_GB2312" w:cs="宋体"/>
          <w:sz w:val="28"/>
          <w:szCs w:val="28"/>
          <w:lang w:val="en-US" w:eastAsia="zh-CN"/>
        </w:rPr>
        <w:t xml:space="preserve">    </w:t>
      </w:r>
      <w:r>
        <w:rPr>
          <w:rFonts w:hint="eastAsia" w:ascii="仿宋_GB2312" w:hAnsi="宋体" w:eastAsia="仿宋_GB2312" w:cs="宋体"/>
          <w:sz w:val="28"/>
          <w:szCs w:val="28"/>
        </w:rPr>
        <w:t xml:space="preserve"> </w:t>
      </w:r>
      <w:r>
        <w:rPr>
          <w:rFonts w:hint="eastAsia" w:ascii="仿宋_GB2312" w:hAnsi="宋体" w:eastAsia="仿宋_GB2312" w:cs="宋体"/>
          <w:sz w:val="28"/>
          <w:szCs w:val="28"/>
          <w:lang w:val="en-US" w:eastAsia="zh-CN"/>
        </w:rPr>
        <w:t xml:space="preserve">  </w:t>
      </w:r>
      <w:r>
        <w:rPr>
          <w:rFonts w:hint="default" w:ascii="仿宋_GB2312" w:hAnsi="宋体" w:eastAsia="仿宋_GB2312" w:cs="宋体"/>
          <w:sz w:val="28"/>
          <w:szCs w:val="28"/>
        </w:rPr>
        <w:t xml:space="preserve"> </w:t>
      </w:r>
      <w:r>
        <w:rPr>
          <w:rFonts w:hint="eastAsia" w:ascii="仿宋_GB2312" w:hAnsi="宋体" w:eastAsia="仿宋_GB2312" w:cs="宋体"/>
          <w:sz w:val="28"/>
          <w:szCs w:val="28"/>
        </w:rPr>
        <w:t>20</w:t>
      </w:r>
      <w:r>
        <w:rPr>
          <w:rFonts w:hint="eastAsia" w:ascii="仿宋_GB2312" w:hAnsi="宋体" w:eastAsia="仿宋_GB2312" w:cs="宋体"/>
          <w:sz w:val="28"/>
          <w:szCs w:val="28"/>
          <w:lang w:val="en-US" w:eastAsia="zh-CN"/>
        </w:rPr>
        <w:t>24</w:t>
      </w:r>
      <w:r>
        <w:rPr>
          <w:rFonts w:hint="eastAsia" w:ascii="仿宋_GB2312" w:hAnsi="宋体" w:eastAsia="仿宋_GB2312" w:cs="宋体"/>
          <w:sz w:val="28"/>
          <w:szCs w:val="28"/>
        </w:rPr>
        <w:t>年</w:t>
      </w:r>
      <w:r>
        <w:rPr>
          <w:rFonts w:hint="eastAsia" w:ascii="仿宋_GB2312" w:hAnsi="宋体" w:eastAsia="仿宋_GB2312" w:cs="宋体"/>
          <w:sz w:val="28"/>
          <w:szCs w:val="28"/>
          <w:lang w:val="en-US" w:eastAsia="zh-CN"/>
        </w:rPr>
        <w:t>1</w:t>
      </w:r>
      <w:r>
        <w:rPr>
          <w:rFonts w:hint="eastAsia" w:ascii="仿宋_GB2312" w:hAnsi="宋体" w:eastAsia="仿宋_GB2312" w:cs="宋体"/>
          <w:sz w:val="28"/>
          <w:szCs w:val="28"/>
        </w:rPr>
        <w:t>月</w:t>
      </w:r>
      <w:r>
        <w:rPr>
          <w:rFonts w:hint="eastAsia" w:ascii="仿宋_GB2312" w:hAnsi="宋体" w:eastAsia="仿宋_GB2312" w:cs="宋体"/>
          <w:sz w:val="28"/>
          <w:szCs w:val="28"/>
          <w:lang w:val="en-US" w:eastAsia="zh-CN"/>
        </w:rPr>
        <w:t>22</w:t>
      </w:r>
      <w:r>
        <w:rPr>
          <w:rFonts w:hint="eastAsia" w:ascii="仿宋_GB2312" w:hAnsi="宋体" w:eastAsia="仿宋_GB2312" w:cs="宋体"/>
          <w:sz w:val="28"/>
          <w:szCs w:val="28"/>
        </w:rPr>
        <w:t xml:space="preserve">日印发 </w:t>
      </w:r>
      <w:bookmarkEnd w:id="0"/>
    </w:p>
    <w:sectPr>
      <w:footerReference r:id="rId3" w:type="default"/>
      <w:pgSz w:w="11906" w:h="16838"/>
      <w:pgMar w:top="1984" w:right="1474" w:bottom="187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altName w:val="楷体"/>
    <w:panose1 w:val="02010609030101010101"/>
    <w:charset w:val="00"/>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7461"/>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-123825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9.75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">
              <v:fill on="f" focussize="0,0"/>
              <v:stroke on="f" weight="0.5pt"/>
              <v:imagedata o:title=""/>
              <o:lock v:ext="edit" aspectratio="f"/>
              <v:textbox inset="0mm,0mm,0mm,0mm" style="mso-fit-shape-to-text:t;">
                <w:txbxContent>
                  <w:p>
                    <w:pPr>
                      <w:pStyle w:val="1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DDE4E7"/>
    <w:multiLevelType w:val="singleLevel"/>
    <w:tmpl w:val="31DDE4E7"/>
    <w:lvl w:ilvl="0" w:tentative="0">
      <w:start w:val="1"/>
      <w:numFmt w:val="chineseCounting"/>
      <w:suff w:val="nothing"/>
      <w:lvlText w:val="%1、"/>
      <w:lvlJc w:val="left"/>
      <w:rPr>
        <w:rFonts w:hint="eastAsia" w:ascii="黑体" w:hAnsi="黑体" w:eastAsia="黑体" w:cs="黑体"/>
        <w:sz w:val="32"/>
        <w:szCs w:val="32"/>
      </w:rPr>
    </w:lvl>
  </w:abstractNum>
  <w:abstractNum w:abstractNumId="1">
    <w:nsid w:val="598979B7"/>
    <w:multiLevelType w:val="singleLevel"/>
    <w:tmpl w:val="598979B7"/>
    <w:lvl w:ilvl="0" w:tentative="0">
      <w:start w:val="1"/>
      <w:numFmt w:val="chineseCounting"/>
      <w:suff w:val="nothing"/>
      <w:lvlText w:val="（%1）"/>
      <w:lvlJc w:val="left"/>
      <w:rPr>
        <w:rFonts w:hint="eastAsia" w:ascii="楷体" w:hAnsi="楷体" w:eastAsia="楷体" w:cs="楷体"/>
        <w:b/>
        <w:bCs/>
        <w:sz w:val="32"/>
        <w:szCs w:val="3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wOWZiYTE2M2I1ZjQyOGEyMWQyNDg5ZGRmYzViZTQifQ=="/>
  </w:docVars>
  <w:rsids>
    <w:rsidRoot w:val="0A765E9E"/>
    <w:rsid w:val="000E1516"/>
    <w:rsid w:val="000E22BA"/>
    <w:rsid w:val="00204275"/>
    <w:rsid w:val="00204372"/>
    <w:rsid w:val="00221986"/>
    <w:rsid w:val="0025290C"/>
    <w:rsid w:val="0027109A"/>
    <w:rsid w:val="002876E7"/>
    <w:rsid w:val="00325ABF"/>
    <w:rsid w:val="00395526"/>
    <w:rsid w:val="003C5E8D"/>
    <w:rsid w:val="003D0B0C"/>
    <w:rsid w:val="003E66EF"/>
    <w:rsid w:val="004E6B2B"/>
    <w:rsid w:val="005401C6"/>
    <w:rsid w:val="00541728"/>
    <w:rsid w:val="005B02F2"/>
    <w:rsid w:val="005B04CC"/>
    <w:rsid w:val="006D0811"/>
    <w:rsid w:val="006E633D"/>
    <w:rsid w:val="00702E08"/>
    <w:rsid w:val="00715817"/>
    <w:rsid w:val="007440E9"/>
    <w:rsid w:val="0075198C"/>
    <w:rsid w:val="0078045B"/>
    <w:rsid w:val="0079367F"/>
    <w:rsid w:val="007A2795"/>
    <w:rsid w:val="0080734D"/>
    <w:rsid w:val="00883575"/>
    <w:rsid w:val="00893B3D"/>
    <w:rsid w:val="008B09AC"/>
    <w:rsid w:val="008B4512"/>
    <w:rsid w:val="008F13DA"/>
    <w:rsid w:val="00924F75"/>
    <w:rsid w:val="0092782C"/>
    <w:rsid w:val="00945A48"/>
    <w:rsid w:val="00983DBD"/>
    <w:rsid w:val="00997626"/>
    <w:rsid w:val="00A1623E"/>
    <w:rsid w:val="00A421C7"/>
    <w:rsid w:val="00AA3CC4"/>
    <w:rsid w:val="00AF08DD"/>
    <w:rsid w:val="00B01887"/>
    <w:rsid w:val="00B01B6B"/>
    <w:rsid w:val="00B04E13"/>
    <w:rsid w:val="00B16DAB"/>
    <w:rsid w:val="00BF31B5"/>
    <w:rsid w:val="00C42842"/>
    <w:rsid w:val="00C57975"/>
    <w:rsid w:val="00D568CF"/>
    <w:rsid w:val="00D72064"/>
    <w:rsid w:val="00D767A6"/>
    <w:rsid w:val="00E00B15"/>
    <w:rsid w:val="00E37FF6"/>
    <w:rsid w:val="00E47293"/>
    <w:rsid w:val="00EF443A"/>
    <w:rsid w:val="00F23157"/>
    <w:rsid w:val="00F465C3"/>
    <w:rsid w:val="00F83202"/>
    <w:rsid w:val="00FF7042"/>
    <w:rsid w:val="02971351"/>
    <w:rsid w:val="02C620A0"/>
    <w:rsid w:val="06354F2B"/>
    <w:rsid w:val="08F17857"/>
    <w:rsid w:val="0A1F749A"/>
    <w:rsid w:val="0A670CAF"/>
    <w:rsid w:val="0A765E9E"/>
    <w:rsid w:val="0B5D4D4B"/>
    <w:rsid w:val="0B6C6BDE"/>
    <w:rsid w:val="0C212A78"/>
    <w:rsid w:val="0E967D09"/>
    <w:rsid w:val="0F392664"/>
    <w:rsid w:val="12D12118"/>
    <w:rsid w:val="12E353DC"/>
    <w:rsid w:val="130F0984"/>
    <w:rsid w:val="132216E0"/>
    <w:rsid w:val="13F17B76"/>
    <w:rsid w:val="16AD781C"/>
    <w:rsid w:val="1CFD3795"/>
    <w:rsid w:val="1E2D7412"/>
    <w:rsid w:val="1FE6B570"/>
    <w:rsid w:val="1FFFFF12"/>
    <w:rsid w:val="241D6337"/>
    <w:rsid w:val="2726396E"/>
    <w:rsid w:val="27D077A5"/>
    <w:rsid w:val="2B0D51E8"/>
    <w:rsid w:val="2B395100"/>
    <w:rsid w:val="2B501F20"/>
    <w:rsid w:val="2B6D5AEC"/>
    <w:rsid w:val="2D4621B0"/>
    <w:rsid w:val="2D9970D0"/>
    <w:rsid w:val="2EE87E3E"/>
    <w:rsid w:val="2F0944CF"/>
    <w:rsid w:val="2F4D5B6B"/>
    <w:rsid w:val="2FF92259"/>
    <w:rsid w:val="3003596F"/>
    <w:rsid w:val="3052134E"/>
    <w:rsid w:val="31996EDA"/>
    <w:rsid w:val="33C354FE"/>
    <w:rsid w:val="34F75F57"/>
    <w:rsid w:val="356234E7"/>
    <w:rsid w:val="371F1F39"/>
    <w:rsid w:val="372E2884"/>
    <w:rsid w:val="39EF3101"/>
    <w:rsid w:val="3B2136E4"/>
    <w:rsid w:val="3DDF6676"/>
    <w:rsid w:val="3EBE2A60"/>
    <w:rsid w:val="40DE7C8B"/>
    <w:rsid w:val="44F86416"/>
    <w:rsid w:val="46403619"/>
    <w:rsid w:val="481842E3"/>
    <w:rsid w:val="48767B62"/>
    <w:rsid w:val="49CC2D2A"/>
    <w:rsid w:val="4D8875B9"/>
    <w:rsid w:val="4E976780"/>
    <w:rsid w:val="4F16060D"/>
    <w:rsid w:val="4F9FD46E"/>
    <w:rsid w:val="529037EC"/>
    <w:rsid w:val="55FC2784"/>
    <w:rsid w:val="5686E408"/>
    <w:rsid w:val="58DC13CC"/>
    <w:rsid w:val="597E37ED"/>
    <w:rsid w:val="59C57CDF"/>
    <w:rsid w:val="59F66574"/>
    <w:rsid w:val="5A851A14"/>
    <w:rsid w:val="5A985F79"/>
    <w:rsid w:val="5ABF9B3B"/>
    <w:rsid w:val="5BE9790A"/>
    <w:rsid w:val="5DA378E4"/>
    <w:rsid w:val="5DEEAE1B"/>
    <w:rsid w:val="629D3267"/>
    <w:rsid w:val="632F0491"/>
    <w:rsid w:val="63650205"/>
    <w:rsid w:val="65B901E6"/>
    <w:rsid w:val="66082447"/>
    <w:rsid w:val="6C4E1F99"/>
    <w:rsid w:val="6D0D0A19"/>
    <w:rsid w:val="6D1F1E69"/>
    <w:rsid w:val="6E0221F9"/>
    <w:rsid w:val="6EFF220F"/>
    <w:rsid w:val="6F9DF7CE"/>
    <w:rsid w:val="6FBDABC9"/>
    <w:rsid w:val="6FFFA92A"/>
    <w:rsid w:val="71B167B3"/>
    <w:rsid w:val="747374C4"/>
    <w:rsid w:val="75FD65C6"/>
    <w:rsid w:val="767A99C7"/>
    <w:rsid w:val="77D32F88"/>
    <w:rsid w:val="77DDF7DA"/>
    <w:rsid w:val="77F389EF"/>
    <w:rsid w:val="77F7A6E5"/>
    <w:rsid w:val="77FFB4D0"/>
    <w:rsid w:val="782C7A88"/>
    <w:rsid w:val="783914ED"/>
    <w:rsid w:val="785A0A77"/>
    <w:rsid w:val="78F75BE0"/>
    <w:rsid w:val="7D101019"/>
    <w:rsid w:val="7D6D5451"/>
    <w:rsid w:val="7DDB6B4E"/>
    <w:rsid w:val="7DFF00A5"/>
    <w:rsid w:val="7EBB169F"/>
    <w:rsid w:val="7F4F7306"/>
    <w:rsid w:val="7F9B83F6"/>
    <w:rsid w:val="7FDF98B8"/>
    <w:rsid w:val="7FFFCF0C"/>
    <w:rsid w:val="98FFE0B2"/>
    <w:rsid w:val="9FF87EC8"/>
    <w:rsid w:val="ABFF6759"/>
    <w:rsid w:val="B3FBDC7F"/>
    <w:rsid w:val="B73D5148"/>
    <w:rsid w:val="BDBF32BA"/>
    <w:rsid w:val="BDD329AE"/>
    <w:rsid w:val="BF95CA6A"/>
    <w:rsid w:val="D3FE2B8D"/>
    <w:rsid w:val="DB7FD980"/>
    <w:rsid w:val="DB9FD40B"/>
    <w:rsid w:val="DD641538"/>
    <w:rsid w:val="DEEFFB8B"/>
    <w:rsid w:val="DF7F10F0"/>
    <w:rsid w:val="DFFFA7E3"/>
    <w:rsid w:val="E3DFB6BF"/>
    <w:rsid w:val="E7FE5C94"/>
    <w:rsid w:val="EBAF366E"/>
    <w:rsid w:val="EBD7DFAE"/>
    <w:rsid w:val="EBE33CEA"/>
    <w:rsid w:val="ED1F9F99"/>
    <w:rsid w:val="EEFFEF67"/>
    <w:rsid w:val="EFDB6450"/>
    <w:rsid w:val="EFF58F43"/>
    <w:rsid w:val="EFFF4F6A"/>
    <w:rsid w:val="F36EABE9"/>
    <w:rsid w:val="F5BB0367"/>
    <w:rsid w:val="F6F5DC8D"/>
    <w:rsid w:val="F7CF4CCE"/>
    <w:rsid w:val="F7F71955"/>
    <w:rsid w:val="F7FEEA04"/>
    <w:rsid w:val="FAB91634"/>
    <w:rsid w:val="FB5F3C0C"/>
    <w:rsid w:val="FDEB113B"/>
    <w:rsid w:val="FDF7D97B"/>
    <w:rsid w:val="FDFF2741"/>
    <w:rsid w:val="FEB6E157"/>
    <w:rsid w:val="FECF6DAF"/>
    <w:rsid w:val="FEDE9F20"/>
    <w:rsid w:val="FF5E70FC"/>
    <w:rsid w:val="FFCE9043"/>
    <w:rsid w:val="FFFBB050"/>
    <w:rsid w:val="FFFCB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1"/>
    <w:basedOn w:val="1"/>
    <w:next w:val="1"/>
    <w:qFormat/>
    <w:uiPriority w:val="0"/>
    <w:pPr>
      <w:keepNext/>
      <w:keepLines/>
      <w:spacing w:before="340" w:after="330" w:line="578" w:lineRule="auto"/>
      <w:outlineLvl w:val="0"/>
    </w:pPr>
    <w:rPr>
      <w:b/>
      <w:kern w:val="44"/>
      <w:sz w:val="44"/>
    </w:rPr>
  </w:style>
  <w:style w:type="paragraph" w:styleId="7">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8">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customStyle="1" w:styleId="2">
    <w:name w:val="海南化工城正文"/>
    <w:basedOn w:val="3"/>
    <w:qFormat/>
    <w:uiPriority w:val="0"/>
    <w:pPr>
      <w:spacing w:line="324" w:lineRule="auto"/>
      <w:ind w:firstLine="480" w:firstLineChars="200"/>
    </w:pPr>
    <w:rPr>
      <w:rFonts w:ascii="宋体" w:hAnsi="宋体" w:cs="宋体"/>
      <w:sz w:val="24"/>
      <w:szCs w:val="20"/>
    </w:rPr>
  </w:style>
  <w:style w:type="paragraph" w:customStyle="1" w:styleId="3">
    <w:name w:val="样式 电镀正文 + 首行缩进:  2 字符"/>
    <w:basedOn w:val="4"/>
    <w:qFormat/>
    <w:uiPriority w:val="0"/>
    <w:pPr>
      <w:spacing w:line="324" w:lineRule="auto"/>
    </w:pPr>
    <w:rPr>
      <w:rFonts w:cs="宋体"/>
      <w:szCs w:val="20"/>
    </w:rPr>
  </w:style>
  <w:style w:type="paragraph" w:customStyle="1" w:styleId="4">
    <w:name w:val="电镀正文"/>
    <w:basedOn w:val="5"/>
    <w:qFormat/>
    <w:uiPriority w:val="0"/>
    <w:pPr>
      <w:spacing w:line="400" w:lineRule="exact"/>
      <w:ind w:firstLine="200" w:firstLineChars="200"/>
    </w:pPr>
    <w:rPr>
      <w:rFonts w:ascii="宋体" w:hAnsi="宋体" w:cs="Times New Roman"/>
      <w:kern w:val="2"/>
      <w:sz w:val="21"/>
      <w:lang w:val="en-US" w:eastAsia="zh-CN"/>
    </w:rPr>
  </w:style>
  <w:style w:type="paragraph" w:styleId="5">
    <w:name w:val="Normal Indent"/>
    <w:basedOn w:val="1"/>
    <w:next w:val="1"/>
    <w:qFormat/>
    <w:uiPriority w:val="0"/>
    <w:pPr>
      <w:ind w:firstLine="420"/>
    </w:pPr>
    <w:rPr>
      <w:szCs w:val="20"/>
    </w:rPr>
  </w:style>
  <w:style w:type="paragraph" w:styleId="9">
    <w:name w:val="Document Map"/>
    <w:basedOn w:val="1"/>
    <w:qFormat/>
    <w:uiPriority w:val="0"/>
    <w:pPr>
      <w:shd w:val="clear" w:color="auto" w:fill="000080"/>
    </w:pPr>
  </w:style>
  <w:style w:type="paragraph" w:styleId="10">
    <w:name w:val="Body Text"/>
    <w:basedOn w:val="1"/>
    <w:unhideWhenUsed/>
    <w:qFormat/>
    <w:uiPriority w:val="99"/>
    <w:pPr>
      <w:tabs>
        <w:tab w:val="left" w:pos="4890"/>
      </w:tabs>
      <w:jc w:val="center"/>
    </w:pPr>
    <w:rPr>
      <w:rFonts w:ascii="Calibri" w:hAnsi="Calibri" w:eastAsia="宋体" w:cs="Times New Roman"/>
      <w:sz w:val="28"/>
      <w:szCs w:val="28"/>
    </w:rPr>
  </w:style>
  <w:style w:type="paragraph" w:styleId="11">
    <w:name w:val="Body Text Indent"/>
    <w:basedOn w:val="1"/>
    <w:next w:val="5"/>
    <w:qFormat/>
    <w:uiPriority w:val="0"/>
    <w:pPr>
      <w:widowControl w:val="0"/>
      <w:suppressAutoHyphens w:val="0"/>
      <w:bidi w:val="0"/>
      <w:spacing w:after="120"/>
      <w:ind w:left="420" w:leftChars="200"/>
      <w:jc w:val="both"/>
    </w:pPr>
    <w:rPr>
      <w:rFonts w:ascii="Calibri" w:hAnsi="Calibri" w:eastAsia="宋体" w:cs="Times New Roman"/>
      <w:color w:val="auto"/>
      <w:kern w:val="2"/>
      <w:sz w:val="21"/>
      <w:szCs w:val="24"/>
      <w:lang w:val="en-US" w:eastAsia="zh-CN" w:bidi="ar-SA"/>
    </w:rPr>
  </w:style>
  <w:style w:type="paragraph" w:styleId="12">
    <w:name w:val="Block Text"/>
    <w:basedOn w:val="1"/>
    <w:qFormat/>
    <w:uiPriority w:val="0"/>
    <w:pPr>
      <w:ind w:left="1440" w:leftChars="700" w:right="700" w:rightChars="700"/>
    </w:pPr>
    <w:rPr>
      <w:rFonts w:cs="Times New Roman"/>
      <w:szCs w:val="24"/>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6">
    <w:name w:val="Normal (Web)"/>
    <w:basedOn w:val="1"/>
    <w:qFormat/>
    <w:uiPriority w:val="0"/>
    <w:pPr>
      <w:spacing w:before="100" w:beforeAutospacing="1" w:after="100" w:afterAutospacing="1"/>
      <w:jc w:val="left"/>
    </w:pPr>
    <w:rPr>
      <w:kern w:val="0"/>
      <w:sz w:val="24"/>
    </w:rPr>
  </w:style>
  <w:style w:type="paragraph" w:styleId="17">
    <w:name w:val="Title"/>
    <w:basedOn w:val="1"/>
    <w:qFormat/>
    <w:uiPriority w:val="0"/>
    <w:pPr>
      <w:spacing w:before="240" w:after="60"/>
      <w:jc w:val="center"/>
      <w:outlineLvl w:val="0"/>
    </w:pPr>
    <w:rPr>
      <w:rFonts w:ascii="Arial" w:hAnsi="Arial"/>
      <w:b/>
      <w:sz w:val="32"/>
    </w:rPr>
  </w:style>
  <w:style w:type="paragraph" w:styleId="18">
    <w:name w:val="Body Text First Indent 2"/>
    <w:basedOn w:val="11"/>
    <w:next w:val="1"/>
    <w:qFormat/>
    <w:uiPriority w:val="0"/>
    <w:pPr>
      <w:widowControl w:val="0"/>
      <w:suppressAutoHyphens w:val="0"/>
      <w:bidi w:val="0"/>
      <w:spacing w:after="120" w:line="500" w:lineRule="exact"/>
      <w:ind w:left="420" w:leftChars="200" w:firstLine="200" w:firstLineChars="200"/>
      <w:jc w:val="left"/>
    </w:pPr>
    <w:rPr>
      <w:rFonts w:ascii="Calibri" w:hAnsi="Calibri" w:eastAsia="宋体" w:cs="Times New Roman"/>
      <w:color w:val="auto"/>
      <w:kern w:val="0"/>
      <w:sz w:val="21"/>
      <w:szCs w:val="24"/>
      <w:lang w:val="en-US" w:eastAsia="zh-CN" w:bidi="ar-SA"/>
    </w:rPr>
  </w:style>
  <w:style w:type="character" w:styleId="21">
    <w:name w:val="page number"/>
    <w:basedOn w:val="20"/>
    <w:qFormat/>
    <w:uiPriority w:val="0"/>
  </w:style>
  <w:style w:type="paragraph" w:customStyle="1" w:styleId="22">
    <w:name w:val="样式 正文文本缩进 + 行距: 1.5 倍行距"/>
    <w:qFormat/>
    <w:uiPriority w:val="0"/>
    <w:pPr>
      <w:widowControl w:val="0"/>
      <w:suppressAutoHyphens w:val="0"/>
      <w:bidi w:val="0"/>
      <w:spacing w:after="120" w:line="360" w:lineRule="auto"/>
      <w:ind w:left="90" w:leftChars="32" w:firstLine="560" w:firstLineChars="200"/>
      <w:jc w:val="both"/>
    </w:pPr>
    <w:rPr>
      <w:rFonts w:ascii="Calibri" w:hAnsi="Calibri" w:eastAsia="宋体" w:cs="宋体"/>
      <w:color w:val="auto"/>
      <w:kern w:val="2"/>
      <w:sz w:val="21"/>
      <w:szCs w:val="24"/>
      <w:lang w:val="en-US" w:eastAsia="zh-CN" w:bidi="ar-SA"/>
    </w:rPr>
  </w:style>
  <w:style w:type="paragraph" w:customStyle="1" w:styleId="23">
    <w:name w:val="Char Char Char Char"/>
    <w:basedOn w:val="9"/>
    <w:qFormat/>
    <w:uiPriority w:val="0"/>
    <w:pPr>
      <w:adjustRightInd w:val="0"/>
      <w:snapToGrid w:val="0"/>
      <w:spacing w:line="360" w:lineRule="auto"/>
    </w:pPr>
  </w:style>
  <w:style w:type="paragraph" w:customStyle="1" w:styleId="2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5">
    <w:name w:val="BodyText"/>
    <w:basedOn w:val="1"/>
    <w:qFormat/>
    <w:uiPriority w:val="0"/>
    <w:pPr>
      <w:suppressAutoHyphens/>
      <w:spacing w:after="140" w:afterLines="0" w:line="276" w:lineRule="auto"/>
      <w:ind w:firstLine="723" w:firstLineChars="200"/>
      <w:textAlignment w:val="baseline"/>
    </w:pPr>
    <w:rPr>
      <w:rFonts w:ascii="仿宋_GB2312" w:hAnsi="仿宋_GB2312" w:eastAsia="仿宋_GB2312" w:cs="仿宋_GB2312"/>
      <w:sz w:val="30"/>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16</Pages>
  <Words>8560</Words>
  <Characters>8673</Characters>
  <Lines>2</Lines>
  <Paragraphs>1</Paragraphs>
  <TotalTime>6</TotalTime>
  <ScaleCrop>false</ScaleCrop>
  <LinksUpToDate>false</LinksUpToDate>
  <CharactersWithSpaces>8782</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2018-07-31T10:16:00Z</dcterms:created>
  <dc:creator>w2</dc:creator>
  <cp:lastModifiedBy>greatwall</cp:lastModifiedBy>
  <cp:lastPrinted>2024-01-24T16:50:29Z</cp:lastPrinted>
  <dcterms:modified xsi:type="dcterms:W3CDTF">2024-01-24T16:51:04Z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5B06C262A59045FFAD4235330B970BC4_13</vt:lpwstr>
  </property>
</Properties>
</file>