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eastAsia" w:ascii="黑体" w:hAnsi="仿宋_GB2312" w:eastAsia="黑体" w:cs="仿宋_GB2312"/>
          <w:szCs w:val="32"/>
        </w:rPr>
      </w:pPr>
    </w:p>
    <w:p>
      <w:pPr>
        <w:spacing w:line="578" w:lineRule="exact"/>
        <w:jc w:val="left"/>
        <w:rPr>
          <w:rFonts w:hint="eastAsia" w:ascii="黑体" w:hAnsi="仿宋_GB2312" w:eastAsia="黑体" w:cs="仿宋_GB2312"/>
          <w:b/>
          <w:bCs/>
          <w:color w:val="000000"/>
          <w:szCs w:val="32"/>
        </w:rPr>
      </w:pPr>
    </w:p>
    <w:p>
      <w:pPr>
        <w:spacing w:line="578" w:lineRule="exact"/>
        <w:jc w:val="center"/>
        <w:rPr>
          <w:rFonts w:hint="eastAsia" w:ascii="宋体" w:hAnsi="宋体" w:eastAsia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财政支出项目绩效评价报告</w:t>
      </w:r>
    </w:p>
    <w:p>
      <w:pPr>
        <w:spacing w:line="578" w:lineRule="exact"/>
        <w:outlineLvl w:val="0"/>
        <w:rPr>
          <w:rFonts w:hint="eastAsia" w:ascii="楷体_GB2312" w:eastAsia="楷体_GB2312"/>
          <w:color w:val="000000"/>
        </w:rPr>
      </w:pPr>
    </w:p>
    <w:p>
      <w:pPr>
        <w:spacing w:line="578" w:lineRule="exact"/>
        <w:ind w:firstLine="640" w:firstLineChars="200"/>
        <w:outlineLvl w:val="0"/>
        <w:rPr>
          <w:rFonts w:hint="eastAsia" w:ascii="黑体" w:hAnsi="宋体" w:eastAsia="黑体"/>
          <w:bCs/>
          <w:color w:val="000000"/>
        </w:rPr>
      </w:pPr>
      <w:r>
        <w:rPr>
          <w:rFonts w:hint="eastAsia" w:ascii="黑体" w:hAnsi="宋体" w:eastAsia="黑体"/>
          <w:bCs/>
          <w:color w:val="000000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（一）项目基本性质：项目为经常性项目；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主要内容：</w:t>
      </w:r>
      <w:bookmarkStart w:id="0" w:name="_GoBack"/>
      <w:r>
        <w:rPr>
          <w:rFonts w:hint="eastAsia"/>
          <w:szCs w:val="32"/>
          <w:lang w:val="en-US" w:eastAsia="zh-CN"/>
        </w:rPr>
        <w:t>万宁市生活垃圾转运站提升及新建项目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楷体_GB2312" w:eastAsia="楷体_GB2312"/>
          <w:color w:val="000000"/>
          <w:lang w:eastAsia="zh-CN"/>
        </w:rPr>
      </w:pPr>
      <w:r>
        <w:rPr>
          <w:rFonts w:hint="eastAsia"/>
          <w:szCs w:val="32"/>
          <w:lang w:val="en-US" w:eastAsia="zh-CN"/>
        </w:rPr>
        <w:t>涉及范围：市环卫园林局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2023年全年改造兴隆及长丰转运站及新建港北垃圾转运站一座，改造及新建垃圾转运站验收合格率100%，改造及新建垃圾转运站及时完工率100%，较好的保障我市城市垃圾正常有序处理完成，降低垃圾转运费，减少垃圾运输过程中发生污染，减少垃圾滞留停站时间</w:t>
      </w:r>
      <w:r>
        <w:rPr>
          <w:rFonts w:hint="eastAsia"/>
          <w:szCs w:val="32"/>
          <w:lang w:val="en-US" w:eastAsia="zh-CN"/>
        </w:rPr>
        <w:t>取得群众一致好评。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黑体" w:eastAsia="黑体"/>
          <w:bCs/>
          <w:color w:val="000000"/>
        </w:rPr>
      </w:pPr>
      <w:r>
        <w:rPr>
          <w:rFonts w:hint="eastAsia" w:ascii="黑体" w:eastAsia="黑体"/>
          <w:color w:val="000000"/>
        </w:rPr>
        <w:t>二、</w:t>
      </w:r>
      <w:r>
        <w:rPr>
          <w:rFonts w:hint="eastAsia" w:ascii="黑体" w:eastAsia="黑体"/>
          <w:bCs/>
          <w:color w:val="000000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（1）</w:t>
      </w:r>
      <w:r>
        <w:rPr>
          <w:rFonts w:hint="eastAsia"/>
          <w:szCs w:val="32"/>
          <w:lang w:eastAsia="zh-CN"/>
        </w:rPr>
        <w:t>预算金额为</w:t>
      </w:r>
      <w:r>
        <w:rPr>
          <w:rFonts w:hint="eastAsia"/>
          <w:szCs w:val="32"/>
          <w:lang w:val="en-US" w:eastAsia="zh-CN"/>
        </w:rPr>
        <w:t>2560万元。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  <w:lang w:eastAsia="zh-CN"/>
        </w:rPr>
        <w:t>（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）管理制度健全。已制定相应的项目资金管理办法，项目资金管理办法符合相关财务会计制度的规定。 </w:t>
      </w:r>
    </w:p>
    <w:p>
      <w:pPr>
        <w:spacing w:line="578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）资金使用合规。资金使用合规，支出依据规范，无虚列支出，无截留、挤占、挪用。 </w:t>
      </w:r>
    </w:p>
    <w:p>
      <w:pPr>
        <w:spacing w:line="578" w:lineRule="exact"/>
        <w:ind w:firstLine="640" w:firstLineChars="200"/>
        <w:rPr>
          <w:rFonts w:hint="eastAsia" w:ascii="楷体_GB2312" w:eastAsia="楷体_GB2312"/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  <w:lang w:val="en-US" w:eastAsia="zh-CN"/>
        </w:rPr>
        <w:t>4</w:t>
      </w:r>
      <w:r>
        <w:rPr>
          <w:rFonts w:hint="eastAsia"/>
          <w:szCs w:val="32"/>
        </w:rPr>
        <w:t>）财务监控有效。已制定相应的监控机制，采取了相应的财务检查等必要的监控措施，财务及资产管理制度健全且能有效执行，会计核算规范。</w:t>
      </w:r>
    </w:p>
    <w:p>
      <w:pPr>
        <w:spacing w:line="578" w:lineRule="exact"/>
        <w:ind w:firstLine="640" w:firstLineChars="200"/>
        <w:rPr>
          <w:rFonts w:hint="eastAsia" w:ascii="黑体" w:eastAsia="黑体"/>
          <w:bCs/>
          <w:color w:val="000000"/>
        </w:rPr>
      </w:pPr>
      <w:r>
        <w:rPr>
          <w:rFonts w:hint="eastAsia" w:ascii="黑体" w:eastAsia="黑体"/>
          <w:bCs/>
          <w:color w:val="000000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hint="eastAsia" w:ascii="楷体_GB2312" w:eastAsia="楷体_GB2312"/>
          <w:bCs/>
          <w:color w:val="000000"/>
          <w:szCs w:val="32"/>
        </w:rPr>
      </w:pPr>
      <w:r>
        <w:rPr>
          <w:rFonts w:hint="eastAsia" w:ascii="楷体_GB2312" w:eastAsia="楷体_GB2312"/>
          <w:bCs/>
          <w:color w:val="000000"/>
          <w:szCs w:val="32"/>
        </w:rPr>
        <w:t>（一）项目组织情况分析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项目支出均按照有关规章制度和项目实施完成进度进行支付。并建立相关的管理制度，项目决策严格坚持科学决策、民主决策、依法决策的精神，有专人负责，严格执行决策责任追究制度。</w:t>
      </w:r>
    </w:p>
    <w:p>
      <w:pPr>
        <w:numPr>
          <w:ilvl w:val="0"/>
          <w:numId w:val="2"/>
        </w:numPr>
        <w:spacing w:line="578" w:lineRule="exact"/>
        <w:ind w:firstLine="640" w:firstLineChars="200"/>
        <w:outlineLvl w:val="0"/>
        <w:rPr>
          <w:rFonts w:hint="eastAsia" w:ascii="楷体_GB2312" w:eastAsia="楷体_GB2312"/>
          <w:bCs/>
          <w:color w:val="000000"/>
          <w:szCs w:val="32"/>
          <w:lang w:val="en-US" w:eastAsia="zh-CN"/>
        </w:rPr>
      </w:pPr>
      <w:r>
        <w:rPr>
          <w:rFonts w:hint="eastAsia" w:ascii="楷体_GB2312" w:eastAsia="楷体_GB2312"/>
          <w:bCs/>
          <w:color w:val="000000"/>
          <w:szCs w:val="32"/>
        </w:rPr>
        <w:t>项目管理情况分析</w:t>
      </w:r>
      <w:r>
        <w:rPr>
          <w:rFonts w:hint="eastAsia" w:ascii="楷体_GB2312" w:eastAsia="楷体_GB2312"/>
          <w:bCs/>
          <w:color w:val="000000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  <w:lang w:val="en-US" w:eastAsia="zh-CN"/>
        </w:rPr>
        <w:t>项目管理严格按照事业单位财务管理制度执行，日常会计执行支付监督，分级审批。</w:t>
      </w:r>
    </w:p>
    <w:p>
      <w:pPr>
        <w:spacing w:line="578" w:lineRule="exact"/>
        <w:ind w:firstLine="640" w:firstLineChars="200"/>
        <w:outlineLvl w:val="0"/>
        <w:rPr>
          <w:rFonts w:hint="eastAsia" w:ascii="黑体" w:eastAsia="黑体"/>
          <w:bCs/>
        </w:rPr>
      </w:pPr>
      <w:r>
        <w:rPr>
          <w:rFonts w:hint="eastAsia" w:ascii="黑体" w:eastAsia="黑体"/>
          <w:bCs/>
        </w:rPr>
        <w:t>四、项目绩效情况</w:t>
      </w:r>
    </w:p>
    <w:p>
      <w:pPr>
        <w:spacing w:line="578" w:lineRule="exact"/>
        <w:ind w:firstLine="640" w:firstLineChars="200"/>
        <w:rPr>
          <w:rFonts w:hint="eastAsia" w:ascii="楷体_GB2312" w:eastAsia="楷体_GB2312"/>
          <w:bCs/>
          <w:color w:val="000000"/>
          <w:szCs w:val="32"/>
        </w:rPr>
      </w:pPr>
      <w:r>
        <w:rPr>
          <w:rFonts w:hint="eastAsia"/>
          <w:szCs w:val="32"/>
          <w:lang w:eastAsia="zh-CN"/>
        </w:rPr>
        <w:t>项目预算</w:t>
      </w:r>
      <w:r>
        <w:rPr>
          <w:rFonts w:hint="eastAsia"/>
          <w:szCs w:val="32"/>
          <w:lang w:val="en-US" w:eastAsia="zh-CN"/>
        </w:rPr>
        <w:t>2560万元，截至2023年12月31日财政拨款支出数为990.31万元。</w:t>
      </w:r>
      <w:r>
        <w:rPr>
          <w:rFonts w:hint="eastAsia"/>
          <w:szCs w:val="32"/>
        </w:rPr>
        <w:t>从项目产出成本、产出时效、产出数量、产出质量等指标均达到或超过绩效目标，项目的有序推进、实施为确保价格监管高效、稳定运行，提高管理水平</w:t>
      </w:r>
      <w:r>
        <w:rPr>
          <w:rFonts w:hint="eastAsia"/>
          <w:szCs w:val="32"/>
          <w:lang w:eastAsia="zh-CN"/>
        </w:rPr>
        <w:t>，</w:t>
      </w:r>
      <w:r>
        <w:rPr>
          <w:rFonts w:hint="eastAsia"/>
          <w:szCs w:val="32"/>
        </w:rPr>
        <w:t>项目的社会效益广泛，具有可持续性。</w:t>
      </w:r>
    </w:p>
    <w:p>
      <w:pPr>
        <w:spacing w:line="578" w:lineRule="exact"/>
        <w:ind w:firstLine="640" w:firstLineChars="200"/>
        <w:outlineLvl w:val="0"/>
        <w:rPr>
          <w:rFonts w:hint="eastAsia" w:ascii="黑体" w:eastAsia="黑体"/>
          <w:szCs w:val="32"/>
        </w:rPr>
      </w:pPr>
      <w:r>
        <w:rPr>
          <w:rFonts w:hint="eastAsia" w:ascii="黑体" w:eastAsia="黑体"/>
          <w:bCs/>
          <w:szCs w:val="32"/>
        </w:rPr>
        <w:t>五、综合评价情况及评价结论</w:t>
      </w:r>
    </w:p>
    <w:p>
      <w:pPr>
        <w:spacing w:line="578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  <w:lang w:eastAsia="zh-CN"/>
        </w:rPr>
        <w:t>项目</w:t>
      </w:r>
      <w:r>
        <w:rPr>
          <w:rFonts w:hint="eastAsia"/>
          <w:szCs w:val="32"/>
        </w:rPr>
        <w:t>经费使用规范，预算费用项目工作均按计划完成，年度绩效目标达到或超额完成，社会效益较好，项目可持续性强，服务对象总体满意度高。</w:t>
      </w:r>
    </w:p>
    <w:p>
      <w:pPr>
        <w:spacing w:line="578" w:lineRule="exact"/>
        <w:ind w:firstLine="640" w:firstLineChars="200"/>
        <w:outlineLvl w:val="0"/>
        <w:rPr>
          <w:rFonts w:hint="eastAsia" w:ascii="黑体" w:eastAsia="黑体"/>
          <w:bCs/>
          <w:szCs w:val="32"/>
        </w:rPr>
      </w:pPr>
      <w:r>
        <w:rPr>
          <w:rFonts w:hint="eastAsia" w:ascii="黑体" w:eastAsia="黑体"/>
          <w:bCs/>
          <w:szCs w:val="32"/>
        </w:rPr>
        <w:t>六、主要经验及做法、存在的问题和建议</w:t>
      </w:r>
    </w:p>
    <w:p>
      <w:pPr>
        <w:numPr>
          <w:ilvl w:val="0"/>
          <w:numId w:val="3"/>
        </w:numPr>
        <w:spacing w:line="578" w:lineRule="exact"/>
        <w:ind w:leftChars="200"/>
        <w:outlineLvl w:val="0"/>
        <w:rPr>
          <w:rFonts w:hint="eastAsia" w:ascii="黑体" w:eastAsia="黑体"/>
          <w:bCs/>
          <w:szCs w:val="32"/>
          <w:lang w:eastAsia="zh-CN"/>
        </w:rPr>
      </w:pPr>
      <w:r>
        <w:rPr>
          <w:rFonts w:hint="eastAsia" w:ascii="黑体" w:eastAsia="黑体"/>
          <w:bCs/>
          <w:szCs w:val="32"/>
          <w:lang w:eastAsia="zh-CN"/>
        </w:rPr>
        <w:t>主要经验及做法</w:t>
      </w:r>
    </w:p>
    <w:p>
      <w:pPr>
        <w:widowControl/>
        <w:shd w:val="clear" w:color="auto" w:fill="FFFFFF"/>
        <w:spacing w:line="540" w:lineRule="exact"/>
        <w:ind w:firstLine="480"/>
        <w:rPr>
          <w:rFonts w:ascii="仿宋" w:hAnsi="仿宋" w:eastAsia="仿宋" w:cs="宋体"/>
          <w:b/>
          <w:color w:val="000000"/>
          <w:kern w:val="0"/>
          <w:szCs w:val="32"/>
        </w:rPr>
      </w:pPr>
      <w:r>
        <w:rPr>
          <w:rFonts w:hint="eastAsia" w:ascii="仿宋" w:hAnsi="仿宋" w:eastAsia="仿宋" w:cs="Courier New"/>
          <w:bCs/>
          <w:color w:val="000000"/>
          <w:szCs w:val="32"/>
          <w:lang w:val="en-US" w:eastAsia="zh-CN"/>
        </w:rPr>
        <w:t>1、</w:t>
      </w:r>
      <w:r>
        <w:rPr>
          <w:rFonts w:hint="eastAsia" w:ascii="仿宋" w:hAnsi="仿宋" w:eastAsia="仿宋" w:cs="Courier New"/>
          <w:bCs/>
          <w:color w:val="000000"/>
          <w:szCs w:val="32"/>
        </w:rPr>
        <w:t>加强资金监督管理，确保资金安全。我局根据项目资金使用情况，严格执行财务制度，规范资金管理，专项资金实行“专人管理、专项使用”原则</w:t>
      </w:r>
      <w:r>
        <w:rPr>
          <w:rFonts w:ascii="仿宋" w:hAnsi="仿宋" w:eastAsia="仿宋" w:cs="Courier New"/>
          <w:bCs/>
          <w:color w:val="000000"/>
          <w:szCs w:val="32"/>
        </w:rPr>
        <w:t>，对专项资金定期或不定期进行督查，</w:t>
      </w:r>
      <w:r>
        <w:rPr>
          <w:rFonts w:hint="eastAsia" w:ascii="仿宋" w:hAnsi="仿宋" w:eastAsia="仿宋" w:cs="Courier New"/>
          <w:bCs/>
          <w:color w:val="000000"/>
          <w:szCs w:val="32"/>
        </w:rPr>
        <w:t>做到不挪用、不挤占项目资金，</w:t>
      </w:r>
      <w:r>
        <w:rPr>
          <w:rFonts w:ascii="仿宋" w:hAnsi="仿宋" w:eastAsia="仿宋" w:cs="Courier New"/>
          <w:bCs/>
          <w:color w:val="000000"/>
          <w:szCs w:val="32"/>
        </w:rPr>
        <w:t>确保项目资金专款专用</w:t>
      </w:r>
      <w:r>
        <w:rPr>
          <w:rFonts w:hint="eastAsia" w:ascii="仿宋" w:hAnsi="仿宋" w:eastAsia="仿宋" w:cs="Courier New"/>
          <w:bCs/>
          <w:color w:val="000000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黑体" w:eastAsia="黑体"/>
          <w:bCs/>
          <w:szCs w:val="32"/>
          <w:lang w:eastAsia="zh-CN"/>
        </w:rPr>
      </w:pPr>
      <w:r>
        <w:rPr>
          <w:rFonts w:hint="eastAsia" w:ascii="仿宋" w:hAnsi="仿宋" w:eastAsia="仿宋" w:cs="Courier New"/>
          <w:bCs/>
          <w:color w:val="000000"/>
          <w:szCs w:val="32"/>
          <w:lang w:val="en-US" w:eastAsia="zh-CN"/>
        </w:rPr>
        <w:t>2、</w:t>
      </w:r>
      <w:r>
        <w:rPr>
          <w:rFonts w:hint="eastAsia" w:ascii="仿宋" w:hAnsi="仿宋" w:eastAsia="仿宋" w:cs="Courier New"/>
          <w:bCs/>
          <w:color w:val="000000"/>
          <w:szCs w:val="32"/>
        </w:rPr>
        <w:t>及时归档项目材料，做好项目档案管理工作。在项目实施过程中产生的凭证、文件、资料、图片，及时归档，确保资料完整。</w:t>
      </w:r>
    </w:p>
    <w:p>
      <w:pPr>
        <w:numPr>
          <w:ilvl w:val="0"/>
          <w:numId w:val="3"/>
        </w:numPr>
        <w:spacing w:line="578" w:lineRule="exact"/>
        <w:ind w:leftChars="200"/>
        <w:outlineLvl w:val="0"/>
        <w:rPr>
          <w:rFonts w:hint="eastAsia" w:ascii="黑体" w:eastAsia="黑体"/>
          <w:bCs/>
          <w:szCs w:val="32"/>
          <w:lang w:eastAsia="zh-CN"/>
        </w:rPr>
      </w:pPr>
      <w:r>
        <w:rPr>
          <w:rFonts w:hint="eastAsia" w:ascii="黑体" w:eastAsia="黑体"/>
          <w:bCs/>
          <w:szCs w:val="32"/>
          <w:lang w:eastAsia="zh-CN"/>
        </w:rPr>
        <w:t>存在的问题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Courier New"/>
          <w:bCs/>
          <w:color w:val="000000"/>
          <w:szCs w:val="32"/>
          <w:lang w:eastAsia="zh-CN"/>
        </w:rPr>
      </w:pPr>
      <w:r>
        <w:rPr>
          <w:rFonts w:hint="eastAsia" w:ascii="仿宋" w:hAnsi="仿宋" w:eastAsia="仿宋" w:cs="Courier New"/>
          <w:bCs/>
          <w:color w:val="000000"/>
          <w:szCs w:val="32"/>
          <w:lang w:eastAsia="zh-CN"/>
        </w:rPr>
        <w:t>无。</w:t>
      </w:r>
    </w:p>
    <w:p>
      <w:pPr>
        <w:numPr>
          <w:ilvl w:val="0"/>
          <w:numId w:val="3"/>
        </w:numPr>
        <w:spacing w:line="578" w:lineRule="exact"/>
        <w:ind w:leftChars="200"/>
        <w:outlineLvl w:val="0"/>
        <w:rPr>
          <w:rFonts w:hint="eastAsia" w:ascii="黑体" w:eastAsia="黑体"/>
          <w:bCs/>
          <w:szCs w:val="32"/>
          <w:lang w:eastAsia="zh-CN"/>
        </w:rPr>
      </w:pPr>
      <w:r>
        <w:rPr>
          <w:rFonts w:hint="eastAsia" w:ascii="黑体" w:eastAsia="黑体"/>
          <w:bCs/>
          <w:szCs w:val="32"/>
          <w:lang w:eastAsia="zh-CN"/>
        </w:rPr>
        <w:t>建议</w:t>
      </w:r>
    </w:p>
    <w:p>
      <w:pPr>
        <w:numPr>
          <w:ilvl w:val="0"/>
          <w:numId w:val="4"/>
        </w:numPr>
        <w:spacing w:line="578" w:lineRule="exact"/>
        <w:ind w:firstLine="640" w:firstLineChars="200"/>
        <w:outlineLvl w:val="0"/>
        <w:rPr>
          <w:rFonts w:hint="eastAsia" w:ascii="仿宋" w:hAnsi="仿宋" w:eastAsia="仿宋" w:cs="仿宋"/>
          <w:bCs/>
          <w:szCs w:val="32"/>
          <w:lang w:eastAsia="zh-CN"/>
        </w:rPr>
      </w:pPr>
      <w:r>
        <w:rPr>
          <w:rFonts w:hint="eastAsia" w:ascii="仿宋" w:hAnsi="仿宋" w:eastAsia="仿宋" w:cs="仿宋"/>
          <w:bCs/>
          <w:szCs w:val="32"/>
          <w:lang w:eastAsia="zh-CN"/>
        </w:rPr>
        <w:t>加强与会计业务对接</w:t>
      </w:r>
      <w:r>
        <w:rPr>
          <w:rFonts w:hint="eastAsia" w:ascii="仿宋" w:hAnsi="仿宋" w:eastAsia="仿宋" w:cs="仿宋"/>
          <w:bCs/>
          <w:szCs w:val="32"/>
        </w:rPr>
        <w:t>，确保</w:t>
      </w:r>
      <w:r>
        <w:rPr>
          <w:rFonts w:hint="eastAsia" w:ascii="仿宋" w:hAnsi="仿宋" w:eastAsia="仿宋" w:cs="仿宋"/>
          <w:bCs/>
          <w:szCs w:val="32"/>
          <w:lang w:eastAsia="zh-CN"/>
        </w:rPr>
        <w:t>规范使用项目资金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hint="eastAsia" w:ascii="黑体" w:eastAsia="黑体"/>
          <w:bCs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</w:rPr>
        <w:t>2、</w:t>
      </w:r>
      <w:r>
        <w:rPr>
          <w:rFonts w:hint="eastAsia" w:ascii="仿宋" w:hAnsi="仿宋" w:eastAsia="仿宋" w:cs="仿宋"/>
          <w:bCs/>
          <w:szCs w:val="32"/>
        </w:rPr>
        <w:t>加强</w:t>
      </w:r>
      <w:r>
        <w:rPr>
          <w:rFonts w:hint="eastAsia" w:ascii="仿宋" w:hAnsi="仿宋" w:eastAsia="仿宋" w:cs="仿宋"/>
          <w:bCs/>
          <w:szCs w:val="32"/>
          <w:lang w:eastAsia="zh-CN"/>
        </w:rPr>
        <w:t>财务</w:t>
      </w:r>
      <w:r>
        <w:rPr>
          <w:rFonts w:hint="eastAsia" w:ascii="仿宋" w:hAnsi="仿宋" w:eastAsia="仿宋" w:cs="仿宋"/>
          <w:bCs/>
          <w:szCs w:val="32"/>
        </w:rPr>
        <w:t>管理意识，建立建全</w:t>
      </w:r>
      <w:r>
        <w:rPr>
          <w:rFonts w:hint="eastAsia" w:ascii="仿宋" w:hAnsi="仿宋" w:eastAsia="仿宋" w:cs="仿宋"/>
          <w:bCs/>
          <w:szCs w:val="32"/>
          <w:lang w:eastAsia="zh-CN"/>
        </w:rPr>
        <w:t>财务管理</w:t>
      </w:r>
      <w:r>
        <w:rPr>
          <w:rFonts w:hint="eastAsia" w:ascii="仿宋" w:hAnsi="仿宋" w:eastAsia="仿宋" w:cs="仿宋"/>
          <w:bCs/>
          <w:szCs w:val="32"/>
        </w:rPr>
        <w:t>制度，加强对</w:t>
      </w:r>
      <w:r>
        <w:rPr>
          <w:rFonts w:hint="eastAsia" w:ascii="仿宋" w:hAnsi="仿宋" w:eastAsia="仿宋" w:cs="仿宋"/>
          <w:bCs/>
          <w:szCs w:val="32"/>
          <w:lang w:eastAsia="zh-CN"/>
        </w:rPr>
        <w:t>财务管理业务知识学习</w:t>
      </w:r>
      <w:r>
        <w:rPr>
          <w:rFonts w:hint="eastAsia" w:ascii="仿宋" w:hAnsi="仿宋" w:eastAsia="仿宋" w:cs="仿宋"/>
          <w:bCs/>
          <w:szCs w:val="32"/>
        </w:rPr>
        <w:t>。</w:t>
      </w:r>
    </w:p>
    <w:p>
      <w:pPr>
        <w:spacing w:line="578" w:lineRule="exact"/>
        <w:ind w:firstLine="640" w:firstLineChars="200"/>
        <w:outlineLvl w:val="0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eastAsia="黑体"/>
          <w:bCs/>
          <w:szCs w:val="32"/>
        </w:rPr>
        <w:t>七、其他需说明的问题</w:t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5</w:t>
    </w:r>
    <w:r>
      <w:rPr>
        <w:sz w:val="24"/>
        <w:szCs w:val="2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96CA12"/>
    <w:multiLevelType w:val="singleLevel"/>
    <w:tmpl w:val="A796CA1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73A2C30"/>
    <w:multiLevelType w:val="singleLevel"/>
    <w:tmpl w:val="B73A2C3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98BD0DD"/>
    <w:multiLevelType w:val="singleLevel"/>
    <w:tmpl w:val="098BD0D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B42C413"/>
    <w:multiLevelType w:val="singleLevel"/>
    <w:tmpl w:val="5B42C41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C8"/>
    <w:rsid w:val="00033FA3"/>
    <w:rsid w:val="000512C3"/>
    <w:rsid w:val="00135905"/>
    <w:rsid w:val="0016581F"/>
    <w:rsid w:val="0027532C"/>
    <w:rsid w:val="002A2263"/>
    <w:rsid w:val="002A771F"/>
    <w:rsid w:val="00317434"/>
    <w:rsid w:val="003642C8"/>
    <w:rsid w:val="00577B9B"/>
    <w:rsid w:val="00733800"/>
    <w:rsid w:val="00915A4E"/>
    <w:rsid w:val="009B7D24"/>
    <w:rsid w:val="00A32D93"/>
    <w:rsid w:val="00A521B6"/>
    <w:rsid w:val="00B37B6B"/>
    <w:rsid w:val="00B53F1D"/>
    <w:rsid w:val="00B82012"/>
    <w:rsid w:val="00D246E0"/>
    <w:rsid w:val="00D407A3"/>
    <w:rsid w:val="00F32274"/>
    <w:rsid w:val="01657921"/>
    <w:rsid w:val="025078D7"/>
    <w:rsid w:val="0CE4290E"/>
    <w:rsid w:val="0DE123E5"/>
    <w:rsid w:val="20B75A6C"/>
    <w:rsid w:val="23CE5973"/>
    <w:rsid w:val="322906F2"/>
    <w:rsid w:val="35D50384"/>
    <w:rsid w:val="391351E0"/>
    <w:rsid w:val="3F0654FA"/>
    <w:rsid w:val="405F2CE4"/>
    <w:rsid w:val="40980EFF"/>
    <w:rsid w:val="41B31DA0"/>
    <w:rsid w:val="42F66D61"/>
    <w:rsid w:val="459B0C60"/>
    <w:rsid w:val="4B4C17C9"/>
    <w:rsid w:val="54C274A7"/>
    <w:rsid w:val="58FC18BD"/>
    <w:rsid w:val="5923017D"/>
    <w:rsid w:val="5924640A"/>
    <w:rsid w:val="5A9C2AB1"/>
    <w:rsid w:val="61EF6CEE"/>
    <w:rsid w:val="64440F5C"/>
    <w:rsid w:val="66746D3B"/>
    <w:rsid w:val="667F47AF"/>
    <w:rsid w:val="6D6E73ED"/>
    <w:rsid w:val="6EEF24B8"/>
    <w:rsid w:val="78D611D7"/>
    <w:rsid w:val="7A6D1A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新宋体" w:eastAsia="仿宋_GB23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 Char Char Char"/>
    <w:basedOn w:val="1"/>
    <w:uiPriority w:val="0"/>
    <w:pPr>
      <w:spacing w:line="360" w:lineRule="auto"/>
      <w:ind w:firstLine="200" w:firstLineChars="200"/>
    </w:pPr>
  </w:style>
  <w:style w:type="paragraph" w:styleId="7">
    <w:name w:val="List Paragraph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宋体"/>
      <w:sz w:val="28"/>
      <w:szCs w:val="22"/>
    </w:rPr>
  </w:style>
  <w:style w:type="character" w:customStyle="1" w:styleId="8">
    <w:name w:val="页脚 Char"/>
    <w:basedOn w:val="5"/>
    <w:link w:val="2"/>
    <w:uiPriority w:val="99"/>
    <w:rPr>
      <w:rFonts w:ascii="仿宋_GB2312" w:hAnsi="新宋体" w:eastAsia="仿宋_GB2312"/>
      <w:kern w:val="2"/>
      <w:sz w:val="18"/>
      <w:szCs w:val="18"/>
    </w:rPr>
  </w:style>
  <w:style w:type="character" w:customStyle="1" w:styleId="9">
    <w:name w:val="页眉 Char"/>
    <w:basedOn w:val="5"/>
    <w:link w:val="3"/>
    <w:uiPriority w:val="0"/>
    <w:rPr>
      <w:rFonts w:ascii="仿宋_GB2312" w:hAnsi="新宋体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bluepoint</Company>
  <Pages>6</Pages>
  <Words>341</Words>
  <Characters>1949</Characters>
  <Lines>16</Lines>
  <Paragraphs>4</Paragraphs>
  <TotalTime>9</TotalTime>
  <ScaleCrop>false</ScaleCrop>
  <LinksUpToDate>false</LinksUpToDate>
  <CharactersWithSpaces>2286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2019-06-26T07:29:00Z</dcterms:created>
  <dc:creator>万宁市信息报送</dc:creator>
  <cp:lastModifiedBy>Administrator</cp:lastModifiedBy>
  <cp:lastPrinted>2020-11-26T08:37:26Z</cp:lastPrinted>
  <dcterms:modified xsi:type="dcterms:W3CDTF">2024-06-19T08:34:51Z</dcterms:modified>
  <dc:title>附件3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15C45F6D33E94A118AC993C9DABA6547</vt:lpwstr>
  </property>
</Properties>
</file>