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color w:val="333333"/>
          <w:kern w:val="0"/>
          <w:sz w:val="24"/>
          <w:szCs w:val="24"/>
        </w:rPr>
      </w:pPr>
      <w:r>
        <w:rPr>
          <w:rFonts w:hint="eastAsia" w:ascii="方正小标宋简体" w:hAnsi="Times New Roman" w:eastAsia="方正小标宋简体" w:cs="Times New Roman"/>
          <w:color w:val="333333"/>
          <w:kern w:val="0"/>
          <w:sz w:val="44"/>
          <w:szCs w:val="44"/>
          <w:lang w:eastAsia="zh-CN"/>
        </w:rPr>
        <w:t>万宁市人民政府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Times New Roman" w:eastAsia="方正小标宋简体" w:cs="Times New Roman"/>
          <w:color w:val="333333"/>
          <w:kern w:val="0"/>
          <w:sz w:val="44"/>
          <w:szCs w:val="44"/>
          <w:shd w:val="clear" w:color="auto" w:fill="FFFFFF"/>
        </w:rPr>
      </w:pPr>
      <w:r>
        <w:rPr>
          <w:rFonts w:hint="eastAsia" w:ascii="方正小标宋简体" w:hAnsi="Times New Roman" w:eastAsia="方正小标宋简体" w:cs="Times New Roman"/>
          <w:color w:val="333333"/>
          <w:kern w:val="0"/>
          <w:sz w:val="44"/>
          <w:szCs w:val="44"/>
          <w:shd w:val="clear" w:color="auto" w:fill="FFFFFF"/>
        </w:rPr>
        <w:t>20</w:t>
      </w:r>
      <w:r>
        <w:rPr>
          <w:rFonts w:ascii="方正小标宋简体" w:hAnsi="Times New Roman" w:eastAsia="方正小标宋简体" w:cs="Times New Roman"/>
          <w:color w:val="333333"/>
          <w:kern w:val="0"/>
          <w:sz w:val="44"/>
          <w:szCs w:val="44"/>
          <w:shd w:val="clear" w:color="auto" w:fill="FFFFFF"/>
        </w:rPr>
        <w:t>20</w:t>
      </w:r>
      <w:r>
        <w:rPr>
          <w:rFonts w:hint="eastAsia" w:ascii="方正小标宋简体" w:hAnsi="Times New Roman" w:eastAsia="方正小标宋简体" w:cs="Times New Roman"/>
          <w:color w:val="333333"/>
          <w:kern w:val="0"/>
          <w:sz w:val="44"/>
          <w:szCs w:val="44"/>
          <w:shd w:val="clear" w:color="auto" w:fill="FFFFFF"/>
        </w:rPr>
        <w:t>年政府信息公开工作年度报告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Times New Roman" w:eastAsia="方正小标宋简体" w:cs="Times New Roman"/>
          <w:color w:val="333333"/>
          <w:kern w:val="0"/>
          <w:sz w:val="44"/>
          <w:szCs w:val="4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333333"/>
          <w:kern w:val="0"/>
          <w:sz w:val="32"/>
          <w:szCs w:val="32"/>
          <w:shd w:val="clear" w:color="auto" w:fill="FFFFFF"/>
        </w:rPr>
      </w:pPr>
      <w:bookmarkStart w:id="0" w:name="_GoBack"/>
      <w:r>
        <w:rPr>
          <w:rFonts w:hint="eastAsia" w:ascii="仿宋_GB2312" w:hAnsi="仿宋_GB2312" w:eastAsia="仿宋_GB2312" w:cs="仿宋_GB2312"/>
          <w:color w:val="333333"/>
          <w:kern w:val="0"/>
          <w:sz w:val="32"/>
          <w:szCs w:val="32"/>
          <w:shd w:val="clear" w:color="auto" w:fill="FFFFFF"/>
        </w:rPr>
        <w:t> 本年报根据《中华人民共和国政府信息公开条例》编</w:t>
      </w:r>
      <w:bookmarkEnd w:id="0"/>
      <w:r>
        <w:rPr>
          <w:rFonts w:hint="eastAsia" w:ascii="仿宋_GB2312" w:hAnsi="仿宋_GB2312" w:eastAsia="仿宋_GB2312" w:cs="仿宋_GB2312"/>
          <w:color w:val="333333"/>
          <w:kern w:val="0"/>
          <w:sz w:val="32"/>
          <w:szCs w:val="32"/>
          <w:shd w:val="clear" w:color="auto" w:fill="FFFFFF"/>
        </w:rPr>
        <w:t>制。本年报主要由总体情况、主动公开政府信息情况、收到和处理政府信息公开申请情况、政府信息公开行政复议及行政诉讼情况、存在的主要问题及改进情况、其他需要报告的事项等</w:t>
      </w:r>
      <w:r>
        <w:rPr>
          <w:rFonts w:hint="eastAsia" w:ascii="仿宋_GB2312" w:hAnsi="仿宋_GB2312" w:eastAsia="仿宋_GB2312" w:cs="仿宋_GB2312"/>
          <w:color w:val="333333"/>
          <w:kern w:val="0"/>
          <w:sz w:val="32"/>
          <w:szCs w:val="32"/>
          <w:shd w:val="clear" w:color="auto" w:fill="FFFFFF"/>
          <w:lang w:eastAsia="zh-CN"/>
        </w:rPr>
        <w:t>六</w:t>
      </w:r>
      <w:r>
        <w:rPr>
          <w:rFonts w:hint="eastAsia" w:ascii="仿宋_GB2312" w:hAnsi="仿宋_GB2312" w:eastAsia="仿宋_GB2312" w:cs="仿宋_GB2312"/>
          <w:color w:val="333333"/>
          <w:kern w:val="0"/>
          <w:sz w:val="32"/>
          <w:szCs w:val="32"/>
          <w:shd w:val="clear" w:color="auto" w:fill="FFFFFF"/>
        </w:rPr>
        <w:t>部分组成。本年报中所列数据的统计期限自2020年1月1日起至2020年12月31日止。本年报可在万宁市人民政府门户网站（http://wanning.hainan.gov.cn/）下载。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2020年，万宁市人民政府坚持以习近平新时代中国特色社会主义思想为指导，深入贯彻落实国务院、省政府关于政务公开年度工作要点的各项要求，积极作为、勇于担当、攻坚克难、务实创新，全市政务公开工作水平和影响力显著提升，以公开“促公平、提服务、抓落实”的工作格局全面形成，公开透明的政府形象更加彰显，赢得了人民群众更多理解、信任和支持。</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bCs/>
          <w:color w:val="333333"/>
          <w:kern w:val="0"/>
          <w:sz w:val="32"/>
          <w:szCs w:val="32"/>
          <w:shd w:val="clear" w:color="auto" w:fill="FFFFFF"/>
        </w:rPr>
      </w:pPr>
      <w:r>
        <w:rPr>
          <w:rFonts w:hint="eastAsia" w:ascii="仿宋_GB2312" w:hAnsi="仿宋_GB2312" w:eastAsia="仿宋_GB2312" w:cs="仿宋_GB2312"/>
          <w:b/>
          <w:bCs/>
          <w:color w:val="333333"/>
          <w:kern w:val="0"/>
          <w:sz w:val="32"/>
          <w:szCs w:val="32"/>
          <w:shd w:val="clear" w:color="auto" w:fill="FFFFFF"/>
        </w:rPr>
        <w:t>网站信息发布情况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val="en-US" w:eastAsia="zh-CN"/>
        </w:rPr>
        <w:t xml:space="preserve">    </w:t>
      </w:r>
      <w:r>
        <w:rPr>
          <w:rFonts w:hint="eastAsia" w:ascii="仿宋_GB2312" w:hAnsi="仿宋_GB2312" w:eastAsia="仿宋_GB2312" w:cs="仿宋_GB2312"/>
          <w:color w:val="333333"/>
          <w:kern w:val="0"/>
          <w:sz w:val="32"/>
          <w:szCs w:val="32"/>
          <w:shd w:val="clear" w:color="auto" w:fill="FFFFFF"/>
        </w:rPr>
        <w:t>2020年，万宁市人民政府门户网站共</w:t>
      </w:r>
      <w:r>
        <w:rPr>
          <w:rFonts w:hint="eastAsia" w:ascii="仿宋_GB2312" w:hAnsi="仿宋_GB2312" w:eastAsia="仿宋_GB2312" w:cs="仿宋_GB2312"/>
          <w:color w:val="333333"/>
          <w:kern w:val="0"/>
          <w:sz w:val="32"/>
          <w:szCs w:val="32"/>
          <w:shd w:val="clear" w:color="auto" w:fill="FFFFFF"/>
        </w:rPr>
        <w:t>发布</w:t>
      </w:r>
      <w:r>
        <w:rPr>
          <w:rFonts w:hint="eastAsia" w:ascii="仿宋_GB2312" w:hAnsi="仿宋_GB2312" w:eastAsia="仿宋_GB2312" w:cs="仿宋_GB2312"/>
          <w:color w:val="333333"/>
          <w:kern w:val="0"/>
          <w:sz w:val="32"/>
          <w:szCs w:val="32"/>
          <w:shd w:val="clear" w:color="auto" w:fill="FFFFFF"/>
        </w:rPr>
        <w:t xml:space="preserve">信息4471条，其中概况类信息185条，政务动态类信息926条，政府信息公开专栏发布政府信息2137条。通过移动新媒体发布信息4530条，其中通过微博发布信息1226条，通过微信发布信息3304条。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40" w:firstLineChars="0"/>
        <w:jc w:val="center"/>
        <w:textAlignment w:val="auto"/>
        <w:outlineLvl w:val="9"/>
        <w:rPr>
          <w:rFonts w:hint="eastAsia" w:ascii="仿宋_GB2312" w:hAnsi="仿宋_GB2312" w:eastAsia="仿宋_GB2312" w:cs="仿宋_GB2312"/>
          <w:color w:val="333333"/>
          <w:kern w:val="0"/>
          <w:sz w:val="32"/>
          <w:szCs w:val="32"/>
          <w:shd w:val="clear" w:color="auto" w:fill="FFFFFF"/>
          <w:lang w:eastAsia="zh-CN"/>
        </w:rPr>
      </w:pPr>
      <w:r>
        <w:rPr>
          <w:rFonts w:hint="eastAsia" w:ascii="仿宋_GB2312" w:hAnsi="仿宋_GB2312" w:eastAsia="仿宋_GB2312" w:cs="仿宋_GB2312"/>
          <w:color w:val="333333"/>
          <w:kern w:val="0"/>
          <w:sz w:val="32"/>
          <w:szCs w:val="32"/>
          <w:shd w:val="clear" w:color="auto" w:fill="FFFFFF"/>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40" w:firstLineChars="0"/>
        <w:jc w:val="center"/>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_GB2312" w:hAnsi="楷体_GB2312" w:eastAsia="楷体_GB2312" w:cs="楷体_GB2312"/>
          <w:b/>
          <w:bCs/>
          <w:color w:val="333333"/>
          <w:kern w:val="0"/>
          <w:sz w:val="32"/>
          <w:szCs w:val="32"/>
          <w:shd w:val="clear" w:color="auto" w:fill="FFFFFF"/>
        </w:rPr>
      </w:pPr>
      <w:r>
        <w:rPr>
          <w:rFonts w:hint="eastAsia" w:ascii="楷体_GB2312" w:hAnsi="楷体_GB2312" w:eastAsia="楷体_GB2312" w:cs="楷体_GB2312"/>
          <w:b/>
          <w:bCs/>
          <w:color w:val="333333"/>
          <w:kern w:val="0"/>
          <w:sz w:val="32"/>
          <w:szCs w:val="32"/>
          <w:shd w:val="clear" w:color="auto" w:fill="FFFFFF"/>
        </w:rPr>
        <w:t>（二）政府信息主动公开情况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val="en-US" w:eastAsia="zh-CN"/>
        </w:rPr>
        <w:t>1、</w:t>
      </w:r>
      <w:r>
        <w:rPr>
          <w:rFonts w:hint="eastAsia" w:ascii="仿宋_GB2312" w:hAnsi="仿宋_GB2312" w:eastAsia="仿宋_GB2312" w:cs="仿宋_GB2312"/>
          <w:color w:val="333333"/>
          <w:kern w:val="0"/>
          <w:sz w:val="32"/>
          <w:szCs w:val="32"/>
          <w:shd w:val="clear" w:color="auto" w:fill="FFFFFF"/>
        </w:rPr>
        <w:t>全市各单位通过万宁市政府门户网站主动公开政府信息2137条。其中，政策文件信息</w:t>
      </w:r>
      <w:r>
        <w:rPr>
          <w:rFonts w:hint="eastAsia" w:ascii="仿宋_GB2312" w:hAnsi="仿宋_GB2312" w:eastAsia="仿宋_GB2312" w:cs="仿宋_GB2312"/>
          <w:color w:val="333333"/>
          <w:kern w:val="0"/>
          <w:sz w:val="32"/>
          <w:szCs w:val="32"/>
          <w:shd w:val="clear" w:color="auto" w:fill="FFFFFF"/>
          <w:lang w:val="en-US" w:eastAsia="zh-CN"/>
        </w:rPr>
        <w:t>149</w:t>
      </w:r>
      <w:r>
        <w:rPr>
          <w:rFonts w:hint="eastAsia" w:ascii="仿宋_GB2312" w:hAnsi="仿宋_GB2312" w:eastAsia="仿宋_GB2312" w:cs="仿宋_GB2312"/>
          <w:color w:val="333333"/>
          <w:kern w:val="0"/>
          <w:sz w:val="32"/>
          <w:szCs w:val="32"/>
          <w:shd w:val="clear" w:color="auto" w:fill="FFFFFF"/>
        </w:rPr>
        <w:t>条，</w:t>
      </w:r>
      <w:r>
        <w:rPr>
          <w:rFonts w:hint="eastAsia" w:ascii="仿宋_GB2312" w:hAnsi="仿宋_GB2312" w:eastAsia="仿宋_GB2312" w:cs="仿宋_GB2312"/>
          <w:color w:val="333333"/>
          <w:kern w:val="0"/>
          <w:sz w:val="32"/>
          <w:szCs w:val="32"/>
          <w:shd w:val="clear" w:color="auto" w:fill="FFFFFF"/>
          <w:lang w:eastAsia="zh-CN"/>
        </w:rPr>
        <w:t>规划计划</w:t>
      </w:r>
      <w:r>
        <w:rPr>
          <w:rFonts w:hint="eastAsia" w:ascii="仿宋_GB2312" w:hAnsi="仿宋_GB2312" w:eastAsia="仿宋_GB2312" w:cs="仿宋_GB2312"/>
          <w:color w:val="333333"/>
          <w:kern w:val="0"/>
          <w:sz w:val="32"/>
          <w:szCs w:val="32"/>
          <w:shd w:val="clear" w:color="auto" w:fill="FFFFFF"/>
        </w:rPr>
        <w:t>信息</w:t>
      </w:r>
      <w:r>
        <w:rPr>
          <w:rFonts w:hint="eastAsia" w:ascii="仿宋_GB2312" w:hAnsi="仿宋_GB2312" w:eastAsia="仿宋_GB2312" w:cs="仿宋_GB2312"/>
          <w:color w:val="333333"/>
          <w:kern w:val="0"/>
          <w:sz w:val="32"/>
          <w:szCs w:val="32"/>
          <w:shd w:val="clear" w:color="auto" w:fill="FFFFFF"/>
          <w:lang w:val="en-US" w:eastAsia="zh-CN"/>
        </w:rPr>
        <w:t>74</w:t>
      </w:r>
      <w:r>
        <w:rPr>
          <w:rFonts w:hint="eastAsia" w:ascii="仿宋_GB2312" w:hAnsi="仿宋_GB2312" w:eastAsia="仿宋_GB2312" w:cs="仿宋_GB2312"/>
          <w:color w:val="333333"/>
          <w:kern w:val="0"/>
          <w:sz w:val="32"/>
          <w:szCs w:val="32"/>
          <w:shd w:val="clear" w:color="auto" w:fill="FFFFFF"/>
        </w:rPr>
        <w:t>条，财政信息</w:t>
      </w:r>
      <w:r>
        <w:rPr>
          <w:rFonts w:hint="eastAsia" w:ascii="仿宋_GB2312" w:hAnsi="仿宋_GB2312" w:eastAsia="仿宋_GB2312" w:cs="仿宋_GB2312"/>
          <w:color w:val="333333"/>
          <w:kern w:val="0"/>
          <w:sz w:val="32"/>
          <w:szCs w:val="32"/>
          <w:shd w:val="clear" w:color="auto" w:fill="FFFFFF"/>
          <w:lang w:val="en-US" w:eastAsia="zh-CN"/>
        </w:rPr>
        <w:t>321</w:t>
      </w:r>
      <w:r>
        <w:rPr>
          <w:rFonts w:hint="eastAsia" w:ascii="仿宋_GB2312" w:hAnsi="仿宋_GB2312" w:eastAsia="仿宋_GB2312" w:cs="仿宋_GB2312"/>
          <w:color w:val="333333"/>
          <w:kern w:val="0"/>
          <w:sz w:val="32"/>
          <w:szCs w:val="32"/>
          <w:shd w:val="clear" w:color="auto" w:fill="FFFFFF"/>
        </w:rPr>
        <w:t>条，重大建设项目信息</w:t>
      </w:r>
      <w:r>
        <w:rPr>
          <w:rFonts w:hint="eastAsia" w:ascii="仿宋_GB2312" w:hAnsi="仿宋_GB2312" w:eastAsia="仿宋_GB2312" w:cs="仿宋_GB2312"/>
          <w:color w:val="333333"/>
          <w:kern w:val="0"/>
          <w:sz w:val="32"/>
          <w:szCs w:val="32"/>
          <w:shd w:val="clear" w:color="auto" w:fill="FFFFFF"/>
          <w:lang w:val="en-US" w:eastAsia="zh-CN"/>
        </w:rPr>
        <w:t>35</w:t>
      </w:r>
      <w:r>
        <w:rPr>
          <w:rFonts w:hint="eastAsia" w:ascii="仿宋_GB2312" w:hAnsi="仿宋_GB2312" w:eastAsia="仿宋_GB2312" w:cs="仿宋_GB2312"/>
          <w:color w:val="333333"/>
          <w:kern w:val="0"/>
          <w:sz w:val="32"/>
          <w:szCs w:val="32"/>
          <w:shd w:val="clear" w:color="auto" w:fill="FFFFFF"/>
        </w:rPr>
        <w:t>条，</w:t>
      </w:r>
      <w:r>
        <w:rPr>
          <w:rFonts w:hint="eastAsia" w:ascii="仿宋_GB2312" w:hAnsi="仿宋_GB2312" w:eastAsia="仿宋_GB2312" w:cs="仿宋_GB2312"/>
          <w:color w:val="333333"/>
          <w:kern w:val="0"/>
          <w:sz w:val="32"/>
          <w:szCs w:val="32"/>
          <w:shd w:val="clear" w:color="auto" w:fill="FFFFFF"/>
          <w:lang w:eastAsia="zh-CN"/>
        </w:rPr>
        <w:t>民生建设信息</w:t>
      </w:r>
      <w:r>
        <w:rPr>
          <w:rFonts w:hint="eastAsia" w:ascii="仿宋_GB2312" w:hAnsi="仿宋_GB2312" w:eastAsia="仿宋_GB2312" w:cs="仿宋_GB2312"/>
          <w:color w:val="333333"/>
          <w:kern w:val="0"/>
          <w:sz w:val="32"/>
          <w:szCs w:val="32"/>
          <w:shd w:val="clear" w:color="auto" w:fill="FFFFFF"/>
          <w:lang w:val="en-US" w:eastAsia="zh-CN"/>
        </w:rPr>
        <w:t>173条，</w:t>
      </w:r>
      <w:r>
        <w:rPr>
          <w:rFonts w:hint="eastAsia" w:ascii="仿宋_GB2312" w:hAnsi="仿宋_GB2312" w:eastAsia="仿宋_GB2312" w:cs="仿宋_GB2312"/>
          <w:color w:val="333333"/>
          <w:kern w:val="0"/>
          <w:sz w:val="32"/>
          <w:szCs w:val="32"/>
          <w:shd w:val="clear" w:color="auto" w:fill="FFFFFF"/>
        </w:rPr>
        <w:t>市场监管信息</w:t>
      </w:r>
      <w:r>
        <w:rPr>
          <w:rFonts w:hint="eastAsia" w:ascii="仿宋_GB2312" w:hAnsi="仿宋_GB2312" w:eastAsia="仿宋_GB2312" w:cs="仿宋_GB2312"/>
          <w:color w:val="333333"/>
          <w:kern w:val="0"/>
          <w:sz w:val="32"/>
          <w:szCs w:val="32"/>
          <w:shd w:val="clear" w:color="auto" w:fill="FFFFFF"/>
          <w:lang w:val="en-US" w:eastAsia="zh-CN"/>
        </w:rPr>
        <w:t>272条，土地利用信息23条，</w:t>
      </w:r>
      <w:r>
        <w:rPr>
          <w:rFonts w:hint="eastAsia" w:ascii="仿宋_GB2312" w:hAnsi="仿宋_GB2312" w:eastAsia="仿宋_GB2312" w:cs="仿宋_GB2312"/>
          <w:color w:val="333333"/>
          <w:kern w:val="0"/>
          <w:sz w:val="32"/>
          <w:szCs w:val="32"/>
          <w:shd w:val="clear" w:color="auto" w:fill="FFFFFF"/>
          <w:lang w:eastAsia="zh-CN"/>
        </w:rPr>
        <w:t>督查督办</w:t>
      </w:r>
      <w:r>
        <w:rPr>
          <w:rFonts w:hint="eastAsia" w:ascii="仿宋_GB2312" w:hAnsi="仿宋_GB2312" w:eastAsia="仿宋_GB2312" w:cs="仿宋_GB2312"/>
          <w:color w:val="333333"/>
          <w:kern w:val="0"/>
          <w:sz w:val="32"/>
          <w:szCs w:val="32"/>
          <w:shd w:val="clear" w:color="auto" w:fill="FFFFFF"/>
        </w:rPr>
        <w:t>信息</w:t>
      </w:r>
      <w:r>
        <w:rPr>
          <w:rFonts w:hint="eastAsia" w:ascii="仿宋_GB2312" w:hAnsi="仿宋_GB2312" w:eastAsia="仿宋_GB2312" w:cs="仿宋_GB2312"/>
          <w:color w:val="333333"/>
          <w:kern w:val="0"/>
          <w:sz w:val="32"/>
          <w:szCs w:val="32"/>
          <w:shd w:val="clear" w:color="auto" w:fill="FFFFFF"/>
          <w:lang w:val="en-US" w:eastAsia="zh-CN"/>
        </w:rPr>
        <w:t>13</w:t>
      </w:r>
      <w:r>
        <w:rPr>
          <w:rFonts w:hint="eastAsia" w:ascii="仿宋_GB2312" w:hAnsi="仿宋_GB2312" w:eastAsia="仿宋_GB2312" w:cs="仿宋_GB2312"/>
          <w:color w:val="333333"/>
          <w:kern w:val="0"/>
          <w:sz w:val="32"/>
          <w:szCs w:val="32"/>
          <w:shd w:val="clear" w:color="auto" w:fill="FFFFFF"/>
        </w:rPr>
        <w:t>条</w:t>
      </w:r>
      <w:r>
        <w:rPr>
          <w:rFonts w:hint="eastAsia" w:ascii="仿宋_GB2312" w:hAnsi="仿宋_GB2312" w:eastAsia="仿宋_GB2312" w:cs="仿宋_GB2312"/>
          <w:color w:val="333333"/>
          <w:kern w:val="0"/>
          <w:sz w:val="32"/>
          <w:szCs w:val="32"/>
          <w:shd w:val="clear" w:color="auto" w:fill="FFFFFF"/>
          <w:lang w:eastAsia="zh-CN"/>
        </w:rPr>
        <w:t>，其他类信息</w:t>
      </w:r>
      <w:r>
        <w:rPr>
          <w:rFonts w:hint="eastAsia" w:ascii="仿宋_GB2312" w:hAnsi="仿宋_GB2312" w:eastAsia="仿宋_GB2312" w:cs="仿宋_GB2312"/>
          <w:color w:val="333333"/>
          <w:kern w:val="0"/>
          <w:sz w:val="32"/>
          <w:szCs w:val="32"/>
          <w:shd w:val="clear" w:color="auto" w:fill="FFFFFF"/>
          <w:lang w:val="en-US" w:eastAsia="zh-CN"/>
        </w:rPr>
        <w:t>1077条</w:t>
      </w:r>
      <w:r>
        <w:rPr>
          <w:rFonts w:hint="eastAsia" w:ascii="仿宋_GB2312" w:hAnsi="仿宋_GB2312" w:eastAsia="仿宋_GB2312" w:cs="仿宋_GB2312"/>
          <w:color w:val="333333"/>
          <w:kern w:val="0"/>
          <w:sz w:val="32"/>
          <w:szCs w:val="32"/>
          <w:shd w:val="clear" w:color="auto" w:fill="FFFFFF"/>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0"/>
          <w:sz w:val="32"/>
          <w:szCs w:val="32"/>
          <w:shd w:val="clear" w:color="auto" w:fill="FFFFFF"/>
          <w:lang w:eastAsia="zh-CN"/>
        </w:rPr>
      </w:pPr>
      <w:r>
        <w:rPr>
          <w:rFonts w:hint="eastAsia" w:ascii="仿宋_GB2312" w:hAnsi="仿宋_GB2312" w:eastAsia="仿宋_GB2312" w:cs="仿宋_GB2312"/>
          <w:color w:val="333333"/>
          <w:kern w:val="0"/>
          <w:sz w:val="32"/>
          <w:szCs w:val="32"/>
          <w:shd w:val="clear" w:color="auto" w:fill="FFFFFF"/>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及时、准确地公开政府信息情况。据统计，2020年共回应公众关注热点问题和解读政策32次，其中，发布政策解读稿件17篇，回应公众热点信息15条。重点对交通出行、粮食生产、行政审批、建房管理、商业经营、疫情防控等重要政策进行解读，对疫情防控热点舆情和虚假信息进行了回应，及时为群众提供准确的信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楷体_GB2312" w:hAnsi="楷体_GB2312" w:eastAsia="楷体_GB2312" w:cs="楷体_GB2312"/>
          <w:b/>
          <w:bCs/>
          <w:color w:val="333333"/>
          <w:kern w:val="0"/>
          <w:sz w:val="32"/>
          <w:szCs w:val="32"/>
          <w:shd w:val="clear" w:color="auto" w:fill="FFFFFF"/>
        </w:rPr>
      </w:pPr>
      <w:r>
        <w:rPr>
          <w:rFonts w:hint="eastAsia" w:ascii="楷体_GB2312" w:hAnsi="楷体_GB2312" w:eastAsia="楷体_GB2312" w:cs="楷体_GB2312"/>
          <w:b/>
          <w:bCs/>
          <w:color w:val="333333"/>
          <w:kern w:val="0"/>
          <w:sz w:val="32"/>
          <w:szCs w:val="32"/>
          <w:shd w:val="clear" w:color="auto" w:fill="FFFFFF"/>
        </w:rPr>
        <w:t>政府信息依申请公开</w:t>
      </w:r>
      <w:r>
        <w:rPr>
          <w:rFonts w:hint="eastAsia" w:ascii="楷体_GB2312" w:hAnsi="楷体_GB2312" w:eastAsia="楷体_GB2312" w:cs="楷体_GB2312"/>
          <w:b/>
          <w:bCs/>
          <w:color w:val="333333"/>
          <w:kern w:val="0"/>
          <w:sz w:val="32"/>
          <w:szCs w:val="32"/>
          <w:shd w:val="clear" w:color="auto" w:fill="FFFFFF"/>
          <w:lang w:eastAsia="zh-CN"/>
        </w:rPr>
        <w:t>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val="en-US" w:eastAsia="zh-CN"/>
        </w:rPr>
        <w:t xml:space="preserve">    </w:t>
      </w:r>
      <w:r>
        <w:rPr>
          <w:rFonts w:hint="eastAsia" w:ascii="仿宋_GB2312" w:hAnsi="仿宋_GB2312" w:eastAsia="仿宋_GB2312" w:cs="仿宋_GB2312"/>
          <w:color w:val="333333"/>
          <w:kern w:val="0"/>
          <w:sz w:val="32"/>
          <w:szCs w:val="32"/>
          <w:shd w:val="clear" w:color="auto" w:fill="FFFFFF"/>
        </w:rPr>
        <w:t>2020年，我市共收到政府信息公开申请1</w:t>
      </w:r>
      <w:r>
        <w:rPr>
          <w:rFonts w:hint="eastAsia" w:ascii="仿宋_GB2312" w:hAnsi="仿宋_GB2312" w:eastAsia="仿宋_GB2312" w:cs="仿宋_GB2312"/>
          <w:color w:val="333333"/>
          <w:kern w:val="0"/>
          <w:sz w:val="32"/>
          <w:szCs w:val="32"/>
          <w:shd w:val="clear" w:color="auto" w:fill="FFFFFF"/>
          <w:lang w:val="en-US" w:eastAsia="zh-CN"/>
        </w:rPr>
        <w:t>7</w:t>
      </w:r>
      <w:r>
        <w:rPr>
          <w:rFonts w:hint="eastAsia" w:ascii="仿宋_GB2312" w:hAnsi="仿宋_GB2312" w:eastAsia="仿宋_GB2312" w:cs="仿宋_GB2312"/>
          <w:color w:val="333333"/>
          <w:kern w:val="0"/>
          <w:sz w:val="32"/>
          <w:szCs w:val="32"/>
          <w:shd w:val="clear" w:color="auto" w:fill="FFFFFF"/>
        </w:rPr>
        <w:t>件。截至2020年12月31日，共答复政府信息公开申请17件，其中，同意公开答复的8件；不予公开的4件，不属于本机关公开的1件；申请信息不存在的2件；告知作出更改补充的1件；其他类型的1件。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楷体_GB2312" w:hAnsi="楷体_GB2312" w:eastAsia="楷体_GB2312" w:cs="楷体_GB2312"/>
          <w:b/>
          <w:bCs/>
          <w:color w:val="333333"/>
          <w:kern w:val="0"/>
          <w:sz w:val="32"/>
          <w:szCs w:val="32"/>
          <w:shd w:val="clear" w:color="auto" w:fill="FFFFFF"/>
          <w:lang w:eastAsia="zh-CN"/>
        </w:rPr>
      </w:pPr>
      <w:r>
        <w:rPr>
          <w:rFonts w:hint="eastAsia" w:ascii="楷体_GB2312" w:hAnsi="楷体_GB2312" w:eastAsia="楷体_GB2312" w:cs="楷体_GB2312"/>
          <w:b/>
          <w:bCs/>
          <w:color w:val="333333"/>
          <w:kern w:val="0"/>
          <w:sz w:val="32"/>
          <w:szCs w:val="32"/>
          <w:shd w:val="clear" w:color="auto" w:fill="FFFFFF"/>
        </w:rPr>
        <w:t>政府信息管理</w:t>
      </w:r>
      <w:r>
        <w:rPr>
          <w:rFonts w:hint="eastAsia" w:ascii="楷体_GB2312" w:hAnsi="楷体_GB2312" w:eastAsia="楷体_GB2312" w:cs="楷体_GB2312"/>
          <w:b/>
          <w:bCs/>
          <w:color w:val="333333"/>
          <w:kern w:val="0"/>
          <w:sz w:val="32"/>
          <w:szCs w:val="32"/>
          <w:shd w:val="clear" w:color="auto" w:fill="FFFFFF"/>
          <w:lang w:eastAsia="zh-CN"/>
        </w:rPr>
        <w:t>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val="en-US" w:eastAsia="zh-CN"/>
        </w:rPr>
        <w:t xml:space="preserve">    </w:t>
      </w:r>
      <w:r>
        <w:rPr>
          <w:rFonts w:hint="eastAsia" w:ascii="仿宋_GB2312" w:hAnsi="仿宋_GB2312" w:eastAsia="仿宋_GB2312" w:cs="仿宋_GB2312"/>
          <w:color w:val="333333"/>
          <w:kern w:val="0"/>
          <w:sz w:val="32"/>
          <w:szCs w:val="32"/>
          <w:shd w:val="clear" w:color="auto" w:fill="FFFFFF"/>
        </w:rPr>
        <w:t>加强和规范政府信息公开管理</w:t>
      </w:r>
      <w:r>
        <w:rPr>
          <w:rFonts w:hint="eastAsia" w:ascii="仿宋_GB2312" w:hAnsi="仿宋_GB2312" w:eastAsia="仿宋_GB2312" w:cs="仿宋_GB2312"/>
          <w:color w:val="333333"/>
          <w:kern w:val="0"/>
          <w:sz w:val="32"/>
          <w:szCs w:val="32"/>
          <w:shd w:val="clear" w:color="auto" w:fill="FFFFFF"/>
          <w:lang w:eastAsia="zh-CN"/>
        </w:rPr>
        <w:t>。</w:t>
      </w:r>
      <w:r>
        <w:rPr>
          <w:rFonts w:hint="eastAsia" w:ascii="仿宋_GB2312" w:hAnsi="仿宋_GB2312" w:eastAsia="仿宋_GB2312" w:cs="仿宋_GB2312"/>
          <w:color w:val="333333"/>
          <w:kern w:val="0"/>
          <w:sz w:val="32"/>
          <w:szCs w:val="32"/>
          <w:shd w:val="clear" w:color="auto" w:fill="FFFFFF"/>
        </w:rPr>
        <w:t>一是完善政府信息公开相关制度，依据新修订的《条例》，进一步完善了《政府信息公开指南》；二是建立公开基本目录清单制度，根据《条例》、《政府网站发展指引》和国办印发的2012年以来的政务公开工作要点等，制定了市县政府及部门、乡镇政府的《基层政务公开标准目录》，设置专题网页展示，并按照每年新增公开任务不断进行完善。</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楷体_GB2312" w:hAnsi="楷体_GB2312" w:eastAsia="楷体_GB2312" w:cs="楷体_GB2312"/>
          <w:b/>
          <w:bCs/>
          <w:color w:val="333333"/>
          <w:kern w:val="0"/>
          <w:sz w:val="32"/>
          <w:szCs w:val="32"/>
          <w:shd w:val="clear" w:color="auto" w:fill="FFFFFF"/>
          <w:lang w:eastAsia="zh-CN"/>
        </w:rPr>
      </w:pPr>
      <w:r>
        <w:rPr>
          <w:rFonts w:hint="eastAsia" w:ascii="楷体_GB2312" w:hAnsi="楷体_GB2312" w:eastAsia="楷体_GB2312" w:cs="楷体_GB2312"/>
          <w:b/>
          <w:bCs/>
          <w:color w:val="333333"/>
          <w:kern w:val="0"/>
          <w:sz w:val="32"/>
          <w:szCs w:val="32"/>
          <w:shd w:val="clear" w:color="auto" w:fill="FFFFFF"/>
        </w:rPr>
        <w:t>平台建设</w:t>
      </w:r>
      <w:r>
        <w:rPr>
          <w:rFonts w:hint="eastAsia" w:ascii="楷体_GB2312" w:hAnsi="楷体_GB2312" w:eastAsia="楷体_GB2312" w:cs="楷体_GB2312"/>
          <w:b/>
          <w:bCs/>
          <w:color w:val="333333"/>
          <w:kern w:val="0"/>
          <w:sz w:val="32"/>
          <w:szCs w:val="32"/>
          <w:shd w:val="clear" w:color="auto" w:fill="FFFFFF"/>
          <w:lang w:eastAsia="zh-CN"/>
        </w:rPr>
        <w:t>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val="en-US" w:eastAsia="zh-CN"/>
        </w:rPr>
        <w:t>1、</w:t>
      </w:r>
      <w:r>
        <w:rPr>
          <w:rFonts w:hint="eastAsia" w:ascii="仿宋_GB2312" w:hAnsi="仿宋_GB2312" w:eastAsia="仿宋_GB2312" w:cs="仿宋_GB2312"/>
          <w:color w:val="333333"/>
          <w:kern w:val="0"/>
          <w:sz w:val="32"/>
          <w:szCs w:val="32"/>
          <w:shd w:val="clear" w:color="auto" w:fill="FFFFFF"/>
        </w:rPr>
        <w:t>建立政府信息主动公开、依申请公开、保密审查、责任追究等相关工作制度，督促各单位各部门也要相应建立健全相关制度。按照“谁制作谁公开，谁保存谁公开”的原则及时公开应主动公开的政府信息。主动公开的信息由办公室初审，并进行保密审查，报分管领导批准及主要领导审批，做到政府信息形成或变更之日起20个工作日内予以公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val="en-US" w:eastAsia="zh-CN"/>
        </w:rPr>
        <w:t>2、</w:t>
      </w:r>
      <w:r>
        <w:rPr>
          <w:rFonts w:hint="eastAsia" w:ascii="仿宋_GB2312" w:hAnsi="仿宋_GB2312" w:eastAsia="仿宋_GB2312" w:cs="仿宋_GB2312"/>
          <w:color w:val="333333"/>
          <w:kern w:val="0"/>
          <w:sz w:val="32"/>
          <w:szCs w:val="32"/>
          <w:shd w:val="clear" w:color="auto" w:fill="FFFFFF"/>
        </w:rPr>
        <w:t xml:space="preserve">建立政府信息公开申请受理机制。根据新颁布的《条例》规定，制订依申请公开的工作规程，不断完善政府信息公开申请登记、受理、审查、补正、处理、答复以及保存备查等各个环节。按便民利民原则，各乡镇各单位办公室设立依申请公开受理点，明确依申请公开等具体工作流程和工作分工，确保信息公开申请能及时办理及反馈。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_GB2312" w:hAnsi="楷体_GB2312" w:eastAsia="楷体_GB2312" w:cs="楷体_GB2312"/>
          <w:b/>
          <w:bCs/>
          <w:color w:val="333333"/>
          <w:kern w:val="0"/>
          <w:sz w:val="32"/>
          <w:szCs w:val="32"/>
          <w:shd w:val="clear" w:color="auto" w:fill="FFFFFF"/>
          <w:lang w:eastAsia="zh-CN"/>
        </w:rPr>
      </w:pPr>
      <w:r>
        <w:rPr>
          <w:rFonts w:hint="eastAsia" w:ascii="楷体_GB2312" w:hAnsi="楷体_GB2312" w:eastAsia="楷体_GB2312" w:cs="楷体_GB2312"/>
          <w:b/>
          <w:bCs/>
          <w:color w:val="333333"/>
          <w:kern w:val="0"/>
          <w:sz w:val="32"/>
          <w:szCs w:val="32"/>
          <w:shd w:val="clear" w:color="auto" w:fill="FFFFFF"/>
        </w:rPr>
        <w:t>（六）监督保障</w:t>
      </w:r>
      <w:r>
        <w:rPr>
          <w:rFonts w:hint="eastAsia" w:ascii="楷体_GB2312" w:hAnsi="楷体_GB2312" w:eastAsia="楷体_GB2312" w:cs="楷体_GB2312"/>
          <w:b/>
          <w:bCs/>
          <w:color w:val="333333"/>
          <w:kern w:val="0"/>
          <w:sz w:val="32"/>
          <w:szCs w:val="32"/>
          <w:shd w:val="clear" w:color="auto" w:fill="FFFFFF"/>
          <w:lang w:eastAsia="zh-CN"/>
        </w:rPr>
        <w:t>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val="en-US" w:eastAsia="zh-CN"/>
        </w:rPr>
        <w:t>1、</w:t>
      </w:r>
      <w:r>
        <w:rPr>
          <w:rFonts w:hint="eastAsia" w:ascii="仿宋_GB2312" w:hAnsi="仿宋_GB2312" w:eastAsia="仿宋_GB2312" w:cs="仿宋_GB2312"/>
          <w:color w:val="333333"/>
          <w:kern w:val="0"/>
          <w:sz w:val="32"/>
          <w:szCs w:val="32"/>
          <w:shd w:val="clear" w:color="auto" w:fill="FFFFFF"/>
        </w:rPr>
        <w:t>加强日常管理。通过购买服务方式，委托第三方机构对全市政府网站进行24小时安全监测，2020年对市政府门户网站全年共扫描15840次，共告警10次，短信及邮件10次，电话6次，人工巡检15840余次。普查检测全站扫描4次，共报送涉博彩和商业暗链17条、严重错别字85条、普通错别字97条、无效链接232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val="en-US" w:eastAsia="zh-CN"/>
        </w:rPr>
        <w:t>2、</w:t>
      </w:r>
      <w:r>
        <w:rPr>
          <w:rFonts w:hint="eastAsia" w:ascii="仿宋_GB2312" w:hAnsi="仿宋_GB2312" w:eastAsia="仿宋_GB2312" w:cs="仿宋_GB2312"/>
          <w:color w:val="333333"/>
          <w:kern w:val="0"/>
          <w:sz w:val="32"/>
          <w:szCs w:val="32"/>
          <w:shd w:val="clear" w:color="auto" w:fill="FFFFFF"/>
        </w:rPr>
        <w:t>定期做好网络安全等保测评工作。通过购买服务方式，委托第三方机构对市政府门户网站按照第三级网络安全等级要求进行测评，及时发现问题并整改，保证市政府门户网站安全运行。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Times New Roman"/>
          <w:color w:val="333333"/>
          <w:kern w:val="0"/>
          <w:sz w:val="32"/>
          <w:szCs w:val="32"/>
          <w:shd w:val="clear" w:color="auto" w:fill="FFFFFF"/>
        </w:rPr>
      </w:pPr>
      <w:r>
        <w:rPr>
          <w:rFonts w:hint="eastAsia" w:ascii="黑体" w:hAnsi="黑体" w:eastAsia="黑体" w:cs="Times New Roman"/>
          <w:color w:val="333333"/>
          <w:kern w:val="0"/>
          <w:sz w:val="32"/>
          <w:szCs w:val="32"/>
          <w:shd w:val="clear" w:color="auto" w:fill="FFFFFF"/>
        </w:rPr>
        <w:t>   </w:t>
      </w:r>
      <w:r>
        <w:rPr>
          <w:rFonts w:ascii="Calibri" w:hAnsi="Calibri" w:eastAsia="黑体" w:cs="Calibri"/>
          <w:color w:val="333333"/>
          <w:kern w:val="0"/>
          <w:sz w:val="32"/>
          <w:szCs w:val="32"/>
          <w:shd w:val="clear" w:color="auto" w:fill="FFFFFF"/>
        </w:rPr>
        <w:t> </w:t>
      </w:r>
      <w:r>
        <w:rPr>
          <w:rFonts w:hint="eastAsia" w:ascii="黑体" w:hAnsi="黑体" w:eastAsia="黑体" w:cs="Times New Roman"/>
          <w:color w:val="333333"/>
          <w:kern w:val="0"/>
          <w:sz w:val="32"/>
          <w:szCs w:val="32"/>
          <w:shd w:val="clear" w:color="auto" w:fill="FFFFFF"/>
        </w:rPr>
        <w:t>二、主动公开政府信息情况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Times New Roman"/>
          <w:color w:val="333333"/>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Times New Roman"/>
          <w:color w:val="333333"/>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Times New Roman"/>
          <w:color w:val="333333"/>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Times New Roman"/>
          <w:color w:val="333333"/>
          <w:kern w:val="0"/>
          <w:sz w:val="32"/>
          <w:szCs w:val="32"/>
          <w:shd w:val="clear" w:color="auto" w:fill="FFFFFF"/>
        </w:rPr>
      </w:pPr>
    </w:p>
    <w:tbl>
      <w:tblPr>
        <w:tblStyle w:val="8"/>
        <w:tblW w:w="8286" w:type="dxa"/>
        <w:jc w:val="center"/>
        <w:tblInd w:w="0" w:type="dxa"/>
        <w:tblLayout w:type="fixed"/>
        <w:tblCellMar>
          <w:top w:w="0" w:type="dxa"/>
          <w:left w:w="0" w:type="dxa"/>
          <w:bottom w:w="0" w:type="dxa"/>
          <w:right w:w="0" w:type="dxa"/>
        </w:tblCellMar>
      </w:tblPr>
      <w:tblGrid>
        <w:gridCol w:w="3230"/>
        <w:gridCol w:w="1751"/>
        <w:gridCol w:w="13"/>
        <w:gridCol w:w="1218"/>
        <w:gridCol w:w="2074"/>
      </w:tblGrid>
      <w:tr>
        <w:tblPrEx>
          <w:tblLayout w:type="fixed"/>
          <w:tblCellMar>
            <w:top w:w="0" w:type="dxa"/>
            <w:left w:w="0" w:type="dxa"/>
            <w:bottom w:w="0" w:type="dxa"/>
            <w:right w:w="0" w:type="dxa"/>
          </w:tblCellMar>
        </w:tblPrEx>
        <w:trPr>
          <w:trHeight w:val="495" w:hRule="atLeast"/>
          <w:jc w:val="center"/>
        </w:trPr>
        <w:tc>
          <w:tcPr>
            <w:tcW w:w="8286"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第二十条第（一）项</w:t>
            </w:r>
          </w:p>
        </w:tc>
      </w:tr>
      <w:tr>
        <w:tblPrEx>
          <w:tblLayout w:type="fixed"/>
          <w:tblCellMar>
            <w:top w:w="0" w:type="dxa"/>
            <w:left w:w="0" w:type="dxa"/>
            <w:bottom w:w="0" w:type="dxa"/>
            <w:right w:w="0" w:type="dxa"/>
          </w:tblCellMar>
        </w:tblPrEx>
        <w:trPr>
          <w:trHeight w:val="882" w:hRule="atLeast"/>
          <w:jc w:val="center"/>
        </w:trPr>
        <w:tc>
          <w:tcPr>
            <w:tcW w:w="32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信息内容</w:t>
            </w:r>
          </w:p>
        </w:tc>
        <w:tc>
          <w:tcPr>
            <w:tcW w:w="17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本年新</w:t>
            </w:r>
            <w:r>
              <w:rPr>
                <w:rFonts w:hint="eastAsia" w:ascii="宋体" w:hAnsi="宋体" w:eastAsia="宋体" w:cs="Times New Roman"/>
                <w:color w:val="000000"/>
                <w:kern w:val="0"/>
                <w:sz w:val="20"/>
                <w:szCs w:val="20"/>
              </w:rPr>
              <w:br w:type="textWrapping"/>
            </w:r>
            <w:r>
              <w:rPr>
                <w:rFonts w:hint="eastAsia" w:ascii="宋体" w:hAnsi="宋体" w:eastAsia="宋体" w:cs="Times New Roman"/>
                <w:kern w:val="0"/>
                <w:sz w:val="20"/>
                <w:szCs w:val="20"/>
              </w:rPr>
              <w:t>制作数量</w:t>
            </w:r>
          </w:p>
        </w:tc>
        <w:tc>
          <w:tcPr>
            <w:tcW w:w="12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本年新</w:t>
            </w:r>
            <w:r>
              <w:rPr>
                <w:rFonts w:hint="eastAsia" w:ascii="宋体" w:hAnsi="宋体" w:eastAsia="宋体" w:cs="Times New Roman"/>
                <w:color w:val="000000"/>
                <w:kern w:val="0"/>
                <w:sz w:val="20"/>
                <w:szCs w:val="20"/>
              </w:rPr>
              <w:br w:type="textWrapping"/>
            </w:r>
            <w:r>
              <w:rPr>
                <w:rFonts w:hint="eastAsia" w:ascii="宋体" w:hAnsi="宋体" w:eastAsia="宋体" w:cs="Times New Roman"/>
                <w:kern w:val="0"/>
                <w:sz w:val="20"/>
                <w:szCs w:val="20"/>
              </w:rPr>
              <w:t>公开数量</w:t>
            </w:r>
          </w:p>
        </w:tc>
        <w:tc>
          <w:tcPr>
            <w:tcW w:w="207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对外公开总数量</w:t>
            </w:r>
          </w:p>
        </w:tc>
      </w:tr>
      <w:tr>
        <w:tblPrEx>
          <w:tblLayout w:type="fixed"/>
          <w:tblCellMar>
            <w:top w:w="0" w:type="dxa"/>
            <w:left w:w="0" w:type="dxa"/>
            <w:bottom w:w="0" w:type="dxa"/>
            <w:right w:w="0" w:type="dxa"/>
          </w:tblCellMar>
        </w:tblPrEx>
        <w:trPr>
          <w:trHeight w:val="523" w:hRule="atLeast"/>
          <w:jc w:val="center"/>
        </w:trPr>
        <w:tc>
          <w:tcPr>
            <w:tcW w:w="32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规章</w:t>
            </w:r>
          </w:p>
        </w:tc>
        <w:tc>
          <w:tcPr>
            <w:tcW w:w="17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0</w:t>
            </w:r>
          </w:p>
        </w:tc>
        <w:tc>
          <w:tcPr>
            <w:tcW w:w="12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0</w:t>
            </w:r>
          </w:p>
        </w:tc>
        <w:tc>
          <w:tcPr>
            <w:tcW w:w="207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0</w:t>
            </w:r>
          </w:p>
        </w:tc>
      </w:tr>
      <w:tr>
        <w:tblPrEx>
          <w:tblLayout w:type="fixed"/>
          <w:tblCellMar>
            <w:top w:w="0" w:type="dxa"/>
            <w:left w:w="0" w:type="dxa"/>
            <w:bottom w:w="0" w:type="dxa"/>
            <w:right w:w="0" w:type="dxa"/>
          </w:tblCellMar>
        </w:tblPrEx>
        <w:trPr>
          <w:trHeight w:val="471" w:hRule="atLeast"/>
          <w:jc w:val="center"/>
        </w:trPr>
        <w:tc>
          <w:tcPr>
            <w:tcW w:w="32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规范性文件</w:t>
            </w:r>
          </w:p>
        </w:tc>
        <w:tc>
          <w:tcPr>
            <w:tcW w:w="17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10</w:t>
            </w:r>
          </w:p>
        </w:tc>
        <w:tc>
          <w:tcPr>
            <w:tcW w:w="12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10</w:t>
            </w:r>
          </w:p>
        </w:tc>
        <w:tc>
          <w:tcPr>
            <w:tcW w:w="207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296</w:t>
            </w:r>
          </w:p>
        </w:tc>
      </w:tr>
      <w:tr>
        <w:tblPrEx>
          <w:tblLayout w:type="fixed"/>
          <w:tblCellMar>
            <w:top w:w="0" w:type="dxa"/>
            <w:left w:w="0" w:type="dxa"/>
            <w:bottom w:w="0" w:type="dxa"/>
            <w:right w:w="0" w:type="dxa"/>
          </w:tblCellMar>
        </w:tblPrEx>
        <w:trPr>
          <w:trHeight w:val="480" w:hRule="atLeast"/>
          <w:jc w:val="center"/>
        </w:trPr>
        <w:tc>
          <w:tcPr>
            <w:tcW w:w="8286"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第二十条第（五）项</w:t>
            </w:r>
          </w:p>
        </w:tc>
      </w:tr>
      <w:tr>
        <w:tblPrEx>
          <w:tblLayout w:type="fixed"/>
          <w:tblCellMar>
            <w:top w:w="0" w:type="dxa"/>
            <w:left w:w="0" w:type="dxa"/>
            <w:bottom w:w="0" w:type="dxa"/>
            <w:right w:w="0" w:type="dxa"/>
          </w:tblCellMar>
        </w:tblPrEx>
        <w:trPr>
          <w:trHeight w:val="634" w:hRule="atLeast"/>
          <w:jc w:val="center"/>
        </w:trPr>
        <w:tc>
          <w:tcPr>
            <w:tcW w:w="32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信息内容</w:t>
            </w:r>
          </w:p>
        </w:tc>
        <w:tc>
          <w:tcPr>
            <w:tcW w:w="17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上一年项目数量</w:t>
            </w:r>
          </w:p>
        </w:tc>
        <w:tc>
          <w:tcPr>
            <w:tcW w:w="12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本年增/减</w:t>
            </w:r>
          </w:p>
        </w:tc>
        <w:tc>
          <w:tcPr>
            <w:tcW w:w="207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处理决定数量</w:t>
            </w:r>
          </w:p>
        </w:tc>
      </w:tr>
      <w:tr>
        <w:tblPrEx>
          <w:tblLayout w:type="fixed"/>
          <w:tblCellMar>
            <w:top w:w="0" w:type="dxa"/>
            <w:left w:w="0" w:type="dxa"/>
            <w:bottom w:w="0" w:type="dxa"/>
            <w:right w:w="0" w:type="dxa"/>
          </w:tblCellMar>
        </w:tblPrEx>
        <w:trPr>
          <w:trHeight w:val="528" w:hRule="atLeast"/>
          <w:jc w:val="center"/>
        </w:trPr>
        <w:tc>
          <w:tcPr>
            <w:tcW w:w="32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行政许可</w:t>
            </w:r>
          </w:p>
        </w:tc>
        <w:tc>
          <w:tcPr>
            <w:tcW w:w="176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369</w:t>
            </w:r>
          </w:p>
        </w:tc>
        <w:tc>
          <w:tcPr>
            <w:tcW w:w="121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89</w:t>
            </w:r>
          </w:p>
        </w:tc>
        <w:tc>
          <w:tcPr>
            <w:tcW w:w="207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12856</w:t>
            </w:r>
          </w:p>
        </w:tc>
      </w:tr>
      <w:tr>
        <w:tblPrEx>
          <w:tblLayout w:type="fixed"/>
          <w:tblCellMar>
            <w:top w:w="0" w:type="dxa"/>
            <w:left w:w="0" w:type="dxa"/>
            <w:bottom w:w="0" w:type="dxa"/>
            <w:right w:w="0" w:type="dxa"/>
          </w:tblCellMar>
        </w:tblPrEx>
        <w:trPr>
          <w:trHeight w:val="550" w:hRule="atLeast"/>
          <w:jc w:val="center"/>
        </w:trPr>
        <w:tc>
          <w:tcPr>
            <w:tcW w:w="32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其他对外管理服务事项</w:t>
            </w:r>
          </w:p>
        </w:tc>
        <w:tc>
          <w:tcPr>
            <w:tcW w:w="176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1065</w:t>
            </w:r>
          </w:p>
        </w:tc>
        <w:tc>
          <w:tcPr>
            <w:tcW w:w="121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32</w:t>
            </w:r>
          </w:p>
        </w:tc>
        <w:tc>
          <w:tcPr>
            <w:tcW w:w="207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1325</w:t>
            </w:r>
          </w:p>
        </w:tc>
      </w:tr>
      <w:tr>
        <w:tblPrEx>
          <w:tblLayout w:type="fixed"/>
          <w:tblCellMar>
            <w:top w:w="0" w:type="dxa"/>
            <w:left w:w="0" w:type="dxa"/>
            <w:bottom w:w="0" w:type="dxa"/>
            <w:right w:w="0" w:type="dxa"/>
          </w:tblCellMar>
        </w:tblPrEx>
        <w:trPr>
          <w:trHeight w:val="406" w:hRule="atLeast"/>
          <w:jc w:val="center"/>
        </w:trPr>
        <w:tc>
          <w:tcPr>
            <w:tcW w:w="8286"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第二十条第（六）项</w:t>
            </w:r>
          </w:p>
        </w:tc>
      </w:tr>
      <w:tr>
        <w:tblPrEx>
          <w:tblLayout w:type="fixed"/>
          <w:tblCellMar>
            <w:top w:w="0" w:type="dxa"/>
            <w:left w:w="0" w:type="dxa"/>
            <w:bottom w:w="0" w:type="dxa"/>
            <w:right w:w="0" w:type="dxa"/>
          </w:tblCellMar>
        </w:tblPrEx>
        <w:trPr>
          <w:trHeight w:val="634" w:hRule="atLeast"/>
          <w:jc w:val="center"/>
        </w:trPr>
        <w:tc>
          <w:tcPr>
            <w:tcW w:w="32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信息内容</w:t>
            </w:r>
          </w:p>
        </w:tc>
        <w:tc>
          <w:tcPr>
            <w:tcW w:w="17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上一年项目数量</w:t>
            </w:r>
          </w:p>
        </w:tc>
        <w:tc>
          <w:tcPr>
            <w:tcW w:w="12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本年增/减</w:t>
            </w:r>
          </w:p>
        </w:tc>
        <w:tc>
          <w:tcPr>
            <w:tcW w:w="207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处理决定数量</w:t>
            </w:r>
          </w:p>
        </w:tc>
      </w:tr>
      <w:tr>
        <w:tblPrEx>
          <w:tblLayout w:type="fixed"/>
          <w:tblCellMar>
            <w:top w:w="0" w:type="dxa"/>
            <w:left w:w="0" w:type="dxa"/>
            <w:bottom w:w="0" w:type="dxa"/>
            <w:right w:w="0" w:type="dxa"/>
          </w:tblCellMar>
        </w:tblPrEx>
        <w:trPr>
          <w:trHeight w:val="430" w:hRule="atLeast"/>
          <w:jc w:val="center"/>
        </w:trPr>
        <w:tc>
          <w:tcPr>
            <w:tcW w:w="32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行政处罚</w:t>
            </w:r>
          </w:p>
        </w:tc>
        <w:tc>
          <w:tcPr>
            <w:tcW w:w="176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color w:val="auto"/>
                <w:kern w:val="0"/>
                <w:szCs w:val="21"/>
                <w:lang w:val="en-US" w:eastAsia="zh-CN"/>
              </w:rPr>
            </w:pPr>
            <w:r>
              <w:rPr>
                <w:rFonts w:hint="eastAsia" w:ascii="Times New Roman" w:hAnsi="Times New Roman" w:eastAsia="宋体" w:cs="Times New Roman"/>
                <w:b/>
                <w:bCs/>
                <w:color w:val="auto"/>
                <w:kern w:val="0"/>
                <w:szCs w:val="21"/>
                <w:lang w:val="en-US" w:eastAsia="zh-CN"/>
              </w:rPr>
              <w:t>2363</w:t>
            </w:r>
          </w:p>
        </w:tc>
        <w:tc>
          <w:tcPr>
            <w:tcW w:w="121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color w:val="auto"/>
                <w:kern w:val="0"/>
                <w:szCs w:val="21"/>
                <w:lang w:val="en-US" w:eastAsia="zh-CN"/>
              </w:rPr>
            </w:pPr>
            <w:r>
              <w:rPr>
                <w:rFonts w:hint="eastAsia" w:ascii="Times New Roman" w:hAnsi="Times New Roman" w:eastAsia="宋体" w:cs="Times New Roman"/>
                <w:b/>
                <w:bCs/>
                <w:color w:val="auto"/>
                <w:kern w:val="0"/>
                <w:szCs w:val="21"/>
                <w:lang w:val="en-US" w:eastAsia="zh-CN"/>
              </w:rPr>
              <w:t>15</w:t>
            </w:r>
          </w:p>
        </w:tc>
        <w:tc>
          <w:tcPr>
            <w:tcW w:w="207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color w:val="auto"/>
                <w:kern w:val="0"/>
                <w:szCs w:val="21"/>
                <w:lang w:val="en-US" w:eastAsia="zh-CN"/>
              </w:rPr>
            </w:pPr>
            <w:r>
              <w:rPr>
                <w:rFonts w:hint="eastAsia" w:ascii="Times New Roman" w:hAnsi="Times New Roman" w:eastAsia="宋体" w:cs="Times New Roman"/>
                <w:b/>
                <w:bCs/>
                <w:color w:val="auto"/>
                <w:kern w:val="0"/>
                <w:szCs w:val="21"/>
                <w:lang w:val="en-US" w:eastAsia="zh-CN"/>
              </w:rPr>
              <w:t>2732</w:t>
            </w:r>
          </w:p>
        </w:tc>
      </w:tr>
      <w:tr>
        <w:tblPrEx>
          <w:tblLayout w:type="fixed"/>
          <w:tblCellMar>
            <w:top w:w="0" w:type="dxa"/>
            <w:left w:w="0" w:type="dxa"/>
            <w:bottom w:w="0" w:type="dxa"/>
            <w:right w:w="0" w:type="dxa"/>
          </w:tblCellMar>
        </w:tblPrEx>
        <w:trPr>
          <w:trHeight w:val="409" w:hRule="atLeast"/>
          <w:jc w:val="center"/>
        </w:trPr>
        <w:tc>
          <w:tcPr>
            <w:tcW w:w="32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行政强制</w:t>
            </w:r>
          </w:p>
        </w:tc>
        <w:tc>
          <w:tcPr>
            <w:tcW w:w="176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color w:val="auto"/>
                <w:kern w:val="0"/>
                <w:szCs w:val="21"/>
                <w:lang w:val="en-US" w:eastAsia="zh-CN"/>
              </w:rPr>
            </w:pPr>
            <w:r>
              <w:rPr>
                <w:rFonts w:hint="eastAsia" w:ascii="Times New Roman" w:hAnsi="Times New Roman" w:eastAsia="宋体" w:cs="Times New Roman"/>
                <w:b/>
                <w:bCs/>
                <w:color w:val="auto"/>
                <w:kern w:val="0"/>
                <w:szCs w:val="21"/>
                <w:lang w:val="en-US" w:eastAsia="zh-CN"/>
              </w:rPr>
              <w:t>92</w:t>
            </w:r>
          </w:p>
        </w:tc>
        <w:tc>
          <w:tcPr>
            <w:tcW w:w="121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color w:val="auto"/>
                <w:kern w:val="0"/>
                <w:szCs w:val="21"/>
                <w:lang w:val="en-US" w:eastAsia="zh-CN"/>
              </w:rPr>
            </w:pPr>
            <w:r>
              <w:rPr>
                <w:rFonts w:hint="eastAsia" w:ascii="Times New Roman" w:hAnsi="Times New Roman" w:eastAsia="宋体" w:cs="Times New Roman"/>
                <w:b/>
                <w:bCs/>
                <w:color w:val="auto"/>
                <w:kern w:val="0"/>
                <w:szCs w:val="21"/>
                <w:lang w:val="en-US" w:eastAsia="zh-CN"/>
              </w:rPr>
              <w:t>2</w:t>
            </w:r>
          </w:p>
        </w:tc>
        <w:tc>
          <w:tcPr>
            <w:tcW w:w="207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color w:val="auto"/>
                <w:kern w:val="0"/>
                <w:szCs w:val="21"/>
                <w:lang w:val="en-US" w:eastAsia="zh-CN"/>
              </w:rPr>
            </w:pPr>
            <w:r>
              <w:rPr>
                <w:rFonts w:hint="eastAsia" w:ascii="Times New Roman" w:hAnsi="Times New Roman" w:eastAsia="宋体" w:cs="Times New Roman"/>
                <w:b/>
                <w:bCs/>
                <w:color w:val="auto"/>
                <w:kern w:val="0"/>
                <w:szCs w:val="21"/>
                <w:lang w:val="en-US" w:eastAsia="zh-CN"/>
              </w:rPr>
              <w:t>17</w:t>
            </w:r>
          </w:p>
        </w:tc>
      </w:tr>
      <w:tr>
        <w:tblPrEx>
          <w:tblLayout w:type="fixed"/>
          <w:tblCellMar>
            <w:top w:w="0" w:type="dxa"/>
            <w:left w:w="0" w:type="dxa"/>
            <w:bottom w:w="0" w:type="dxa"/>
            <w:right w:w="0" w:type="dxa"/>
          </w:tblCellMar>
        </w:tblPrEx>
        <w:trPr>
          <w:trHeight w:val="474" w:hRule="atLeast"/>
          <w:jc w:val="center"/>
        </w:trPr>
        <w:tc>
          <w:tcPr>
            <w:tcW w:w="8286"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第二十条第（八）项</w:t>
            </w:r>
          </w:p>
        </w:tc>
      </w:tr>
      <w:tr>
        <w:tblPrEx>
          <w:tblLayout w:type="fixed"/>
          <w:tblCellMar>
            <w:top w:w="0" w:type="dxa"/>
            <w:left w:w="0" w:type="dxa"/>
            <w:bottom w:w="0" w:type="dxa"/>
            <w:right w:w="0" w:type="dxa"/>
          </w:tblCellMar>
        </w:tblPrEx>
        <w:trPr>
          <w:trHeight w:val="270" w:hRule="atLeast"/>
          <w:jc w:val="center"/>
        </w:trPr>
        <w:tc>
          <w:tcPr>
            <w:tcW w:w="32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信息内容</w:t>
            </w:r>
          </w:p>
        </w:tc>
        <w:tc>
          <w:tcPr>
            <w:tcW w:w="176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上一年项目数量</w:t>
            </w:r>
          </w:p>
        </w:tc>
        <w:tc>
          <w:tcPr>
            <w:tcW w:w="3292"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本年增/减</w:t>
            </w:r>
          </w:p>
        </w:tc>
      </w:tr>
      <w:tr>
        <w:tblPrEx>
          <w:tblLayout w:type="fixed"/>
          <w:tblCellMar>
            <w:top w:w="0" w:type="dxa"/>
            <w:left w:w="0" w:type="dxa"/>
            <w:bottom w:w="0" w:type="dxa"/>
            <w:right w:w="0" w:type="dxa"/>
          </w:tblCellMar>
        </w:tblPrEx>
        <w:trPr>
          <w:trHeight w:val="551" w:hRule="atLeast"/>
          <w:jc w:val="center"/>
        </w:trPr>
        <w:tc>
          <w:tcPr>
            <w:tcW w:w="32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行政事业性收费</w:t>
            </w:r>
          </w:p>
        </w:tc>
        <w:tc>
          <w:tcPr>
            <w:tcW w:w="176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56</w:t>
            </w:r>
          </w:p>
        </w:tc>
        <w:tc>
          <w:tcPr>
            <w:tcW w:w="3292"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-26</w:t>
            </w:r>
          </w:p>
        </w:tc>
      </w:tr>
      <w:tr>
        <w:tblPrEx>
          <w:tblLayout w:type="fixed"/>
          <w:tblCellMar>
            <w:top w:w="0" w:type="dxa"/>
            <w:left w:w="0" w:type="dxa"/>
            <w:bottom w:w="0" w:type="dxa"/>
            <w:right w:w="0" w:type="dxa"/>
          </w:tblCellMar>
        </w:tblPrEx>
        <w:trPr>
          <w:trHeight w:val="476" w:hRule="atLeast"/>
          <w:jc w:val="center"/>
        </w:trPr>
        <w:tc>
          <w:tcPr>
            <w:tcW w:w="8286"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第二十条第（九）项</w:t>
            </w:r>
          </w:p>
        </w:tc>
      </w:tr>
      <w:tr>
        <w:tblPrEx>
          <w:tblLayout w:type="fixed"/>
          <w:tblCellMar>
            <w:top w:w="0" w:type="dxa"/>
            <w:left w:w="0" w:type="dxa"/>
            <w:bottom w:w="0" w:type="dxa"/>
            <w:right w:w="0" w:type="dxa"/>
          </w:tblCellMar>
        </w:tblPrEx>
        <w:trPr>
          <w:trHeight w:val="585" w:hRule="atLeast"/>
          <w:jc w:val="center"/>
        </w:trPr>
        <w:tc>
          <w:tcPr>
            <w:tcW w:w="32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信息内容</w:t>
            </w:r>
          </w:p>
        </w:tc>
        <w:tc>
          <w:tcPr>
            <w:tcW w:w="176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采购项目数量</w:t>
            </w:r>
          </w:p>
        </w:tc>
        <w:tc>
          <w:tcPr>
            <w:tcW w:w="3292"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采购总金额</w:t>
            </w:r>
          </w:p>
        </w:tc>
      </w:tr>
      <w:tr>
        <w:tblPrEx>
          <w:tblLayout w:type="fixed"/>
          <w:tblCellMar>
            <w:top w:w="0" w:type="dxa"/>
            <w:left w:w="0" w:type="dxa"/>
            <w:bottom w:w="0" w:type="dxa"/>
            <w:right w:w="0" w:type="dxa"/>
          </w:tblCellMar>
        </w:tblPrEx>
        <w:trPr>
          <w:trHeight w:val="539" w:hRule="atLeast"/>
          <w:jc w:val="center"/>
        </w:trPr>
        <w:tc>
          <w:tcPr>
            <w:tcW w:w="32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政府集中采购</w:t>
            </w:r>
          </w:p>
        </w:tc>
        <w:tc>
          <w:tcPr>
            <w:tcW w:w="176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0</w:t>
            </w:r>
          </w:p>
        </w:tc>
        <w:tc>
          <w:tcPr>
            <w:tcW w:w="3292"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0</w:t>
            </w:r>
          </w:p>
        </w:tc>
      </w:tr>
      <w:tr>
        <w:tblPrEx>
          <w:tblLayout w:type="fixed"/>
          <w:tblCellMar>
            <w:top w:w="0" w:type="dxa"/>
            <w:left w:w="0" w:type="dxa"/>
            <w:bottom w:w="0" w:type="dxa"/>
            <w:right w:w="0" w:type="dxa"/>
          </w:tblCellMar>
        </w:tblPrEx>
        <w:trPr>
          <w:jc w:val="center"/>
        </w:trPr>
        <w:tc>
          <w:tcPr>
            <w:tcW w:w="3230"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1751"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Times New Roman" w:cs="Times New Roman"/>
                <w:kern w:val="0"/>
                <w:sz w:val="20"/>
                <w:szCs w:val="20"/>
              </w:rPr>
            </w:pPr>
          </w:p>
        </w:tc>
        <w:tc>
          <w:tcPr>
            <w:tcW w:w="13"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Times New Roman" w:cs="Times New Roman"/>
                <w:kern w:val="0"/>
                <w:sz w:val="20"/>
                <w:szCs w:val="20"/>
              </w:rPr>
            </w:pPr>
          </w:p>
        </w:tc>
        <w:tc>
          <w:tcPr>
            <w:tcW w:w="1218"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Times New Roman" w:cs="Times New Roman"/>
                <w:kern w:val="0"/>
                <w:sz w:val="20"/>
                <w:szCs w:val="20"/>
              </w:rPr>
            </w:pPr>
          </w:p>
        </w:tc>
        <w:tc>
          <w:tcPr>
            <w:tcW w:w="207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Times New Roman" w:cs="Times New Roman"/>
                <w:kern w:val="0"/>
                <w:sz w:val="20"/>
                <w:szCs w:val="20"/>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Times New Roman"/>
          <w:color w:val="333333"/>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textAlignment w:val="auto"/>
        <w:outlineLvl w:val="9"/>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 </w:t>
      </w:r>
      <w:r>
        <w:rPr>
          <w:rFonts w:hint="eastAsia" w:ascii="黑体" w:hAnsi="黑体" w:eastAsia="黑体" w:cs="Times New Roman"/>
          <w:color w:val="333333"/>
          <w:kern w:val="0"/>
          <w:sz w:val="32"/>
          <w:szCs w:val="32"/>
        </w:rPr>
        <w:t>三、收到和处理政府信息公开申请情况</w:t>
      </w:r>
    </w:p>
    <w:tbl>
      <w:tblPr>
        <w:tblStyle w:val="8"/>
        <w:tblW w:w="8286" w:type="dxa"/>
        <w:jc w:val="center"/>
        <w:tblInd w:w="0" w:type="dxa"/>
        <w:tblLayout w:type="fixed"/>
        <w:tblCellMar>
          <w:top w:w="0" w:type="dxa"/>
          <w:left w:w="0" w:type="dxa"/>
          <w:bottom w:w="0" w:type="dxa"/>
          <w:right w:w="0" w:type="dxa"/>
        </w:tblCellMar>
      </w:tblPr>
      <w:tblGrid>
        <w:gridCol w:w="617"/>
        <w:gridCol w:w="847"/>
        <w:gridCol w:w="1936"/>
        <w:gridCol w:w="606"/>
        <w:gridCol w:w="690"/>
        <w:gridCol w:w="690"/>
        <w:gridCol w:w="737"/>
        <w:gridCol w:w="867"/>
        <w:gridCol w:w="655"/>
        <w:gridCol w:w="641"/>
      </w:tblGrid>
      <w:tr>
        <w:tblPrEx>
          <w:tblLayout w:type="fixed"/>
          <w:tblCellMar>
            <w:top w:w="0" w:type="dxa"/>
            <w:left w:w="0" w:type="dxa"/>
            <w:bottom w:w="0" w:type="dxa"/>
            <w:right w:w="0" w:type="dxa"/>
          </w:tblCellMar>
        </w:tblPrEx>
        <w:trPr>
          <w:jc w:val="center"/>
        </w:trPr>
        <w:tc>
          <w:tcPr>
            <w:tcW w:w="3400"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（本列数据的勾稽关系为：第一项加第二项之和，等于第三项加第四项之和）</w:t>
            </w:r>
          </w:p>
        </w:tc>
        <w:tc>
          <w:tcPr>
            <w:tcW w:w="4886"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申请人情况</w:t>
            </w:r>
          </w:p>
        </w:tc>
      </w:tr>
      <w:tr>
        <w:tblPrEx>
          <w:tblLayout w:type="fixed"/>
          <w:tblCellMar>
            <w:top w:w="0" w:type="dxa"/>
            <w:left w:w="0" w:type="dxa"/>
            <w:bottom w:w="0" w:type="dxa"/>
            <w:right w:w="0" w:type="dxa"/>
          </w:tblCellMar>
        </w:tblPrEx>
        <w:trPr>
          <w:jc w:val="center"/>
        </w:trPr>
        <w:tc>
          <w:tcPr>
            <w:tcW w:w="3400"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60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自然人</w:t>
            </w:r>
          </w:p>
        </w:tc>
        <w:tc>
          <w:tcPr>
            <w:tcW w:w="3639"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法人或其他组织</w:t>
            </w:r>
          </w:p>
        </w:tc>
        <w:tc>
          <w:tcPr>
            <w:tcW w:w="64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总计</w:t>
            </w:r>
          </w:p>
        </w:tc>
      </w:tr>
      <w:tr>
        <w:tblPrEx>
          <w:tblLayout w:type="fixed"/>
          <w:tblCellMar>
            <w:top w:w="0" w:type="dxa"/>
            <w:left w:w="0" w:type="dxa"/>
            <w:bottom w:w="0" w:type="dxa"/>
            <w:right w:w="0" w:type="dxa"/>
          </w:tblCellMar>
        </w:tblPrEx>
        <w:trPr>
          <w:jc w:val="center"/>
        </w:trPr>
        <w:tc>
          <w:tcPr>
            <w:tcW w:w="3400"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606"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商业企业</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科研机构</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社会公益组织</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法律服务机构</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其他</w:t>
            </w:r>
          </w:p>
        </w:tc>
        <w:tc>
          <w:tcPr>
            <w:tcW w:w="641"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jc w:val="center"/>
        </w:trPr>
        <w:tc>
          <w:tcPr>
            <w:tcW w:w="340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一、本年新收政府信息公开申请数量</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7</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7</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17</w:t>
            </w:r>
          </w:p>
        </w:tc>
      </w:tr>
      <w:tr>
        <w:tblPrEx>
          <w:tblLayout w:type="fixed"/>
          <w:tblCellMar>
            <w:top w:w="0" w:type="dxa"/>
            <w:left w:w="0" w:type="dxa"/>
            <w:bottom w:w="0" w:type="dxa"/>
            <w:right w:w="0" w:type="dxa"/>
          </w:tblCellMar>
        </w:tblPrEx>
        <w:trPr>
          <w:jc w:val="center"/>
        </w:trPr>
        <w:tc>
          <w:tcPr>
            <w:tcW w:w="340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二、上年结转政府信息公开申请数量</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r>
      <w:tr>
        <w:tblPrEx>
          <w:tblLayout w:type="fixed"/>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三、本年度办理结果</w:t>
            </w:r>
          </w:p>
        </w:tc>
        <w:tc>
          <w:tcPr>
            <w:tcW w:w="27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（一）予以公开</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6</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7</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27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（二）部分公开（区分处理的，只计这一情形，不计其他情形）</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（三）不予公开</w:t>
            </w: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1.属于国家秘密</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2.其他法律行政法规禁止公开</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3.危及“三安全一稳定”</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4.保护第三方合法权益</w:t>
            </w:r>
          </w:p>
        </w:tc>
        <w:tc>
          <w:tcPr>
            <w:tcW w:w="606"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5.属于三类内部事务信息</w:t>
            </w:r>
          </w:p>
        </w:tc>
        <w:tc>
          <w:tcPr>
            <w:tcW w:w="606"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6.属于四类过程性信息</w:t>
            </w:r>
          </w:p>
        </w:tc>
        <w:tc>
          <w:tcPr>
            <w:tcW w:w="606"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7.属于行政执法案卷</w:t>
            </w:r>
          </w:p>
        </w:tc>
        <w:tc>
          <w:tcPr>
            <w:tcW w:w="606"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8.属于行政查询事项</w:t>
            </w:r>
          </w:p>
        </w:tc>
        <w:tc>
          <w:tcPr>
            <w:tcW w:w="606"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（四）无法提供</w:t>
            </w: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1.本机关不掌握相关政府信息</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2.没有现成信息需要另行制作</w:t>
            </w:r>
          </w:p>
        </w:tc>
        <w:tc>
          <w:tcPr>
            <w:tcW w:w="606"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3.补正后申请内容仍不明确</w:t>
            </w:r>
          </w:p>
        </w:tc>
        <w:tc>
          <w:tcPr>
            <w:tcW w:w="606"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（五）不予处理</w:t>
            </w: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1.信访举报投诉类申请</w:t>
            </w:r>
          </w:p>
        </w:tc>
        <w:tc>
          <w:tcPr>
            <w:tcW w:w="606"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2.重复申请</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3.要求提供公开出版物</w:t>
            </w:r>
          </w:p>
        </w:tc>
        <w:tc>
          <w:tcPr>
            <w:tcW w:w="606"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4.无正当理由大量反复申请</w:t>
            </w:r>
          </w:p>
        </w:tc>
        <w:tc>
          <w:tcPr>
            <w:tcW w:w="606"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5.要求行政机关确认或重新出具已获取信息</w:t>
            </w:r>
          </w:p>
        </w:tc>
        <w:tc>
          <w:tcPr>
            <w:tcW w:w="606"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textDirection w:val="lrTb"/>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27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（六）其他处理</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27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楷体" w:hAnsi="楷体" w:eastAsia="楷体" w:cs="Times New Roman"/>
                <w:kern w:val="0"/>
                <w:sz w:val="20"/>
                <w:szCs w:val="20"/>
              </w:rPr>
              <w:t>（七）总计</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7</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7</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17</w:t>
            </w:r>
          </w:p>
        </w:tc>
      </w:tr>
      <w:tr>
        <w:tblPrEx>
          <w:tblLayout w:type="fixed"/>
          <w:tblCellMar>
            <w:top w:w="0" w:type="dxa"/>
            <w:left w:w="0" w:type="dxa"/>
            <w:bottom w:w="0" w:type="dxa"/>
            <w:right w:w="0" w:type="dxa"/>
          </w:tblCellMar>
        </w:tblPrEx>
        <w:trPr>
          <w:jc w:val="center"/>
        </w:trPr>
        <w:tc>
          <w:tcPr>
            <w:tcW w:w="340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四、结转下年度继续办理</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4"/>
                <w:szCs w:val="24"/>
              </w:rPr>
              <w:t> </w:t>
            </w:r>
            <w:r>
              <w:rPr>
                <w:rFonts w:hint="eastAsia" w:ascii="宋体" w:hAnsi="宋体" w:eastAsia="宋体" w:cs="Times New Roman"/>
                <w:kern w:val="0"/>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480"/>
        <w:textAlignment w:val="auto"/>
        <w:outlineLvl w:val="9"/>
        <w:rPr>
          <w:rFonts w:hint="eastAsia" w:ascii="黑体" w:hAnsi="黑体" w:eastAsia="黑体" w:cs="Times New Roman"/>
          <w:color w:val="333333"/>
          <w:kern w:val="0"/>
          <w:sz w:val="32"/>
          <w:szCs w:val="32"/>
        </w:rPr>
      </w:pPr>
      <w:r>
        <w:rPr>
          <w:rFonts w:hint="eastAsia" w:ascii="黑体" w:hAnsi="黑体" w:eastAsia="黑体" w:cs="Times New Roman"/>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480"/>
        <w:textAlignment w:val="auto"/>
        <w:outlineLvl w:val="9"/>
        <w:rPr>
          <w:rFonts w:hint="eastAsia" w:ascii="黑体" w:hAnsi="黑体" w:eastAsia="黑体"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480"/>
        <w:textAlignment w:val="auto"/>
        <w:outlineLvl w:val="9"/>
        <w:rPr>
          <w:rFonts w:ascii="Times New Roman" w:hAnsi="Times New Roman" w:eastAsia="宋体" w:cs="Times New Roman"/>
          <w:color w:val="333333"/>
          <w:kern w:val="0"/>
          <w:szCs w:val="21"/>
        </w:rPr>
      </w:pPr>
      <w:r>
        <w:rPr>
          <w:rFonts w:hint="eastAsia" w:ascii="黑体" w:hAnsi="黑体" w:eastAsia="黑体" w:cs="Times New Roman"/>
          <w:color w:val="333333"/>
          <w:kern w:val="0"/>
          <w:sz w:val="32"/>
          <w:szCs w:val="32"/>
        </w:rPr>
        <w:t>四、政府信息公开行政复议、行政诉讼情况</w:t>
      </w:r>
    </w:p>
    <w:tbl>
      <w:tblPr>
        <w:tblStyle w:val="8"/>
        <w:tblW w:w="8286" w:type="dxa"/>
        <w:jc w:val="center"/>
        <w:tblInd w:w="0" w:type="dxa"/>
        <w:tblLayout w:type="fixed"/>
        <w:tblCellMar>
          <w:top w:w="0" w:type="dxa"/>
          <w:left w:w="0" w:type="dxa"/>
          <w:bottom w:w="0" w:type="dxa"/>
          <w:right w:w="0" w:type="dxa"/>
        </w:tblCellMar>
      </w:tblPr>
      <w:tblGrid>
        <w:gridCol w:w="551"/>
        <w:gridCol w:w="551"/>
        <w:gridCol w:w="551"/>
        <w:gridCol w:w="552"/>
        <w:gridCol w:w="591"/>
        <w:gridCol w:w="513"/>
        <w:gridCol w:w="553"/>
        <w:gridCol w:w="553"/>
        <w:gridCol w:w="553"/>
        <w:gridCol w:w="553"/>
        <w:gridCol w:w="553"/>
        <w:gridCol w:w="553"/>
        <w:gridCol w:w="553"/>
        <w:gridCol w:w="553"/>
        <w:gridCol w:w="553"/>
      </w:tblGrid>
      <w:tr>
        <w:tblPrEx>
          <w:tblLayout w:type="fixed"/>
          <w:tblCellMar>
            <w:top w:w="0" w:type="dxa"/>
            <w:left w:w="0" w:type="dxa"/>
            <w:bottom w:w="0" w:type="dxa"/>
            <w:right w:w="0" w:type="dxa"/>
          </w:tblCellMar>
        </w:tblPrEx>
        <w:trPr>
          <w:jc w:val="center"/>
        </w:trPr>
        <w:tc>
          <w:tcPr>
            <w:tcW w:w="279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行政复议</w:t>
            </w:r>
          </w:p>
        </w:tc>
        <w:tc>
          <w:tcPr>
            <w:tcW w:w="5490"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行政诉讼</w:t>
            </w:r>
          </w:p>
        </w:tc>
      </w:tr>
      <w:tr>
        <w:tblPrEx>
          <w:tblLayout w:type="fixed"/>
          <w:tblCellMar>
            <w:top w:w="0" w:type="dxa"/>
            <w:left w:w="0" w:type="dxa"/>
            <w:bottom w:w="0" w:type="dxa"/>
            <w:right w:w="0" w:type="dxa"/>
          </w:tblCellMar>
        </w:tblPrEx>
        <w:trPr>
          <w:jc w:val="center"/>
        </w:trPr>
        <w:tc>
          <w:tcPr>
            <w:tcW w:w="55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结果维持</w:t>
            </w:r>
          </w:p>
        </w:tc>
        <w:tc>
          <w:tcPr>
            <w:tcW w:w="5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结果纠正</w:t>
            </w:r>
          </w:p>
        </w:tc>
        <w:tc>
          <w:tcPr>
            <w:tcW w:w="5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其他结果</w:t>
            </w:r>
          </w:p>
        </w:tc>
        <w:tc>
          <w:tcPr>
            <w:tcW w:w="55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尚未审结</w:t>
            </w:r>
          </w:p>
        </w:tc>
        <w:tc>
          <w:tcPr>
            <w:tcW w:w="59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总计</w:t>
            </w:r>
          </w:p>
        </w:tc>
        <w:tc>
          <w:tcPr>
            <w:tcW w:w="2725"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未经复议直接起诉</w:t>
            </w:r>
          </w:p>
        </w:tc>
        <w:tc>
          <w:tcPr>
            <w:tcW w:w="2765"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复议后起诉</w:t>
            </w:r>
          </w:p>
        </w:tc>
      </w:tr>
      <w:tr>
        <w:tblPrEx>
          <w:tblLayout w:type="fixed"/>
          <w:tblCellMar>
            <w:top w:w="0" w:type="dxa"/>
            <w:left w:w="0" w:type="dxa"/>
            <w:bottom w:w="0" w:type="dxa"/>
            <w:right w:w="0" w:type="dxa"/>
          </w:tblCellMar>
        </w:tblPrEx>
        <w:trPr>
          <w:jc w:val="center"/>
        </w:trPr>
        <w:tc>
          <w:tcPr>
            <w:tcW w:w="55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551"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551"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55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591"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Times New Roman" w:hAnsi="Times New Roman" w:eastAsia="宋体" w:cs="Times New Roman"/>
                <w:kern w:val="0"/>
                <w:szCs w:val="21"/>
              </w:rPr>
            </w:pPr>
          </w:p>
        </w:tc>
        <w:tc>
          <w:tcPr>
            <w:tcW w:w="5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结果维持</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结果纠正</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其他结果</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尚未审结</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总计</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结果维持</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结果纠正</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其他结果</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kern w:val="0"/>
                <w:sz w:val="20"/>
                <w:szCs w:val="20"/>
              </w:rPr>
              <w:t>尚未审结</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总计</w:t>
            </w:r>
          </w:p>
        </w:tc>
      </w:tr>
      <w:tr>
        <w:tblPrEx>
          <w:tblLayout w:type="fixed"/>
          <w:tblCellMar>
            <w:top w:w="0" w:type="dxa"/>
            <w:left w:w="0" w:type="dxa"/>
            <w:bottom w:w="0" w:type="dxa"/>
            <w:right w:w="0" w:type="dxa"/>
          </w:tblCellMar>
        </w:tblPrEx>
        <w:trPr>
          <w:jc w:val="center"/>
        </w:trPr>
        <w:tc>
          <w:tcPr>
            <w:tcW w:w="5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9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1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黑体" w:hAnsi="黑体" w:eastAsia="黑体" w:cs="Times New Roman"/>
          <w:color w:val="333333"/>
          <w:kern w:val="0"/>
          <w:sz w:val="32"/>
          <w:szCs w:val="32"/>
          <w:shd w:val="clear" w:color="auto" w:fill="FFFFFF"/>
        </w:rPr>
      </w:pPr>
      <w:r>
        <w:rPr>
          <w:rFonts w:hint="eastAsia" w:ascii="黑体" w:hAnsi="黑体" w:eastAsia="黑体" w:cs="Times New Roman"/>
          <w:color w:val="333333"/>
          <w:kern w:val="0"/>
          <w:sz w:val="32"/>
          <w:szCs w:val="32"/>
          <w:shd w:val="clear" w:color="auto" w:fill="FFFFFF"/>
        </w:rPr>
        <w:t>  </w:t>
      </w:r>
      <w:r>
        <w:rPr>
          <w:rFonts w:hint="eastAsia" w:ascii="宋体" w:hAnsi="宋体" w:eastAsia="宋体" w:cs="Times New Roman"/>
          <w:color w:val="333333"/>
          <w:kern w:val="0"/>
          <w:sz w:val="32"/>
          <w:szCs w:val="32"/>
          <w:shd w:val="clear" w:color="auto" w:fill="FFFFFF"/>
        </w:rPr>
        <w:t> </w:t>
      </w:r>
      <w:r>
        <w:rPr>
          <w:rFonts w:hint="eastAsia" w:ascii="黑体" w:hAnsi="黑体" w:eastAsia="黑体" w:cs="Times New Roman"/>
          <w:color w:val="333333"/>
          <w:kern w:val="0"/>
          <w:sz w:val="32"/>
          <w:szCs w:val="32"/>
          <w:shd w:val="clear" w:color="auto" w:fill="FFFFFF"/>
        </w:rPr>
        <w:t>五、工作中存在的主要问题和改进情况</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lang w:val="en-US" w:eastAsia="zh-CN"/>
        </w:rPr>
        <w:t xml:space="preserve">   </w:t>
      </w:r>
      <w:r>
        <w:rPr>
          <w:rFonts w:hint="eastAsia" w:ascii="楷体_GB2312" w:hAnsi="楷体_GB2312" w:eastAsia="楷体_GB2312" w:cs="楷体_GB2312"/>
          <w:b/>
          <w:bCs/>
          <w:color w:val="333333"/>
          <w:kern w:val="0"/>
          <w:sz w:val="32"/>
          <w:szCs w:val="32"/>
          <w:shd w:val="clear" w:color="auto" w:fill="FFFFFF"/>
          <w:lang w:val="en-US" w:eastAsia="zh-CN"/>
        </w:rPr>
        <w:t xml:space="preserve"> </w:t>
      </w:r>
      <w:r>
        <w:rPr>
          <w:rFonts w:hint="eastAsia" w:ascii="楷体_GB2312" w:hAnsi="楷体_GB2312" w:eastAsia="楷体_GB2312" w:cs="楷体_GB2312"/>
          <w:b/>
          <w:bCs/>
          <w:color w:val="333333"/>
          <w:kern w:val="0"/>
          <w:sz w:val="32"/>
          <w:szCs w:val="32"/>
          <w:shd w:val="clear" w:color="auto" w:fill="FFFFFF"/>
        </w:rPr>
        <w:t>（一）主要问题</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一是新《条例》实施后，对《条例》新内容的准确把握需要进一步深入，政务公开队伍专业化水平需提升。二是决策公开仍需进一步加强，重点领域信息公开需细化完善。三是政务公开平台建设需持续推进，公开专栏规范化有待加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lang w:val="en-US" w:eastAsia="zh-CN"/>
        </w:rPr>
        <w:t xml:space="preserve">  </w:t>
      </w:r>
      <w:r>
        <w:rPr>
          <w:rFonts w:hint="eastAsia" w:ascii="楷体_GB2312" w:hAnsi="楷体_GB2312" w:eastAsia="楷体_GB2312" w:cs="楷体_GB2312"/>
          <w:b/>
          <w:bCs/>
          <w:color w:val="333333"/>
          <w:kern w:val="0"/>
          <w:sz w:val="32"/>
          <w:szCs w:val="32"/>
          <w:shd w:val="clear" w:color="auto" w:fill="FFFFFF"/>
          <w:lang w:val="en-US" w:eastAsia="zh-CN"/>
        </w:rPr>
        <w:t xml:space="preserve">  </w:t>
      </w:r>
      <w:r>
        <w:rPr>
          <w:rFonts w:hint="eastAsia" w:ascii="楷体_GB2312" w:hAnsi="楷体_GB2312" w:eastAsia="楷体_GB2312" w:cs="楷体_GB2312"/>
          <w:b/>
          <w:bCs/>
          <w:color w:val="333333"/>
          <w:kern w:val="0"/>
          <w:sz w:val="32"/>
          <w:szCs w:val="32"/>
          <w:shd w:val="clear" w:color="auto" w:fill="FFFFFF"/>
        </w:rPr>
        <w:t>（二）改进措施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w:t>
      </w:r>
      <w:r>
        <w:rPr>
          <w:rFonts w:hint="eastAsia" w:ascii="仿宋_GB2312" w:hAnsi="仿宋_GB2312" w:eastAsia="仿宋_GB2312" w:cs="仿宋_GB2312"/>
          <w:color w:val="333333"/>
          <w:kern w:val="0"/>
          <w:sz w:val="32"/>
          <w:szCs w:val="32"/>
          <w:shd w:val="clear" w:color="auto" w:fill="FFFFFF"/>
          <w:lang w:val="en-US" w:eastAsia="zh-CN"/>
        </w:rPr>
        <w:t>1、</w:t>
      </w:r>
      <w:r>
        <w:rPr>
          <w:rFonts w:hint="eastAsia" w:ascii="仿宋_GB2312" w:hAnsi="仿宋_GB2312" w:eastAsia="仿宋_GB2312" w:cs="仿宋_GB2312"/>
          <w:color w:val="333333"/>
          <w:kern w:val="0"/>
          <w:sz w:val="32"/>
          <w:szCs w:val="32"/>
          <w:shd w:val="clear" w:color="auto" w:fill="FFFFFF"/>
        </w:rPr>
        <w:t>深入做好《条例》的贯彻落实。修订完善信息公开配套制度，完善全市政务公开事项标准目录清单，完善依申请公开办理工作流程。加大政务公开培训，提升市场化、法治化、专业化和开放型、服务型、效率型的专业队伍水平。</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val="en-US" w:eastAsia="zh-CN"/>
        </w:rPr>
        <w:t xml:space="preserve">    2、</w:t>
      </w:r>
      <w:r>
        <w:rPr>
          <w:rFonts w:hint="eastAsia" w:ascii="仿宋_GB2312" w:hAnsi="仿宋_GB2312" w:eastAsia="仿宋_GB2312" w:cs="仿宋_GB2312"/>
          <w:color w:val="333333"/>
          <w:kern w:val="0"/>
          <w:sz w:val="32"/>
          <w:szCs w:val="32"/>
          <w:shd w:val="clear" w:color="auto" w:fill="FFFFFF"/>
        </w:rPr>
        <w:t>坚持标准引领，提高公开质量。加大会议公开力度，建立市政府常务会议公开机制，及时公开会议议题、议定事项等。加大解读回应公开，创新解读形式，增强解读效果。整合财政预决算、重大建设项目批准实施、公共资源配置和社会公益事业等重点领域信息公开，加强政策集成，提升政策服务精准性。</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val="en-US" w:eastAsia="zh-CN"/>
        </w:rPr>
        <w:t xml:space="preserve">    3、</w:t>
      </w:r>
      <w:r>
        <w:rPr>
          <w:rFonts w:hint="eastAsia" w:ascii="仿宋_GB2312" w:hAnsi="仿宋_GB2312" w:eastAsia="仿宋_GB2312" w:cs="仿宋_GB2312"/>
          <w:color w:val="333333"/>
          <w:kern w:val="0"/>
          <w:sz w:val="32"/>
          <w:szCs w:val="32"/>
          <w:shd w:val="clear" w:color="auto" w:fill="FFFFFF"/>
        </w:rPr>
        <w:t>拓展公开渠道，构建全方位公开平台。优化完善万宁市人民政府网政务公开专栏，提升用户体验。拓展新媒体公开方式，多形式多途径公开信息。</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both"/>
        <w:textAlignment w:val="auto"/>
        <w:outlineLvl w:val="9"/>
        <w:rPr>
          <w:rFonts w:ascii="Times New Roman" w:hAnsi="Times New Roman" w:eastAsia="宋体" w:cs="Times New Roman"/>
          <w:color w:val="333333"/>
          <w:kern w:val="0"/>
          <w:sz w:val="24"/>
          <w:szCs w:val="24"/>
        </w:rPr>
      </w:pPr>
      <w:r>
        <w:rPr>
          <w:rFonts w:hint="eastAsia" w:ascii="仿宋" w:hAnsi="仿宋" w:eastAsia="仿宋" w:cs="Times New Roman"/>
          <w:color w:val="333333"/>
          <w:kern w:val="0"/>
          <w:sz w:val="32"/>
          <w:szCs w:val="32"/>
        </w:rPr>
        <w:t> </w:t>
      </w:r>
      <w:r>
        <w:rPr>
          <w:rFonts w:hint="eastAsia" w:ascii="黑体" w:hAnsi="黑体" w:eastAsia="黑体" w:cs="Times New Roman"/>
          <w:color w:val="000000"/>
          <w:kern w:val="0"/>
          <w:sz w:val="32"/>
          <w:szCs w:val="32"/>
          <w:shd w:val="clear" w:color="auto" w:fill="FFFFFF"/>
        </w:rPr>
        <w:t>  六、其他需要报告的事项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80"/>
        <w:jc w:val="both"/>
        <w:textAlignment w:val="auto"/>
        <w:outlineLvl w:val="9"/>
      </w:pPr>
      <w:r>
        <w:rPr>
          <w:rFonts w:hint="eastAsia" w:ascii="黑体" w:hAnsi="黑体" w:eastAsia="黑体" w:cs="Times New Roman"/>
          <w:color w:val="000000"/>
          <w:kern w:val="0"/>
          <w:sz w:val="32"/>
          <w:szCs w:val="32"/>
          <w:shd w:val="clear" w:color="auto" w:fill="FFFFFF"/>
          <w:lang w:val="en-US" w:eastAsia="zh-CN"/>
        </w:rPr>
        <w:t xml:space="preserve">    </w:t>
      </w:r>
      <w:r>
        <w:rPr>
          <w:rFonts w:hint="eastAsia" w:ascii="仿宋_GB2312" w:hAnsi="仿宋_GB2312" w:eastAsia="仿宋_GB2312" w:cs="仿宋_GB2312"/>
          <w:color w:val="000000"/>
          <w:kern w:val="0"/>
          <w:sz w:val="32"/>
          <w:szCs w:val="32"/>
          <w:shd w:val="clear" w:color="auto" w:fill="FFFFFF"/>
        </w:rPr>
        <w:t xml:space="preserve">无其他需要报告事项。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瀹嬩綋">
    <w:altName w:val="宋体"/>
    <w:panose1 w:val="00000000000000000000"/>
    <w:charset w:val="86"/>
    <w:family w:val="modern"/>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瀹嬩綋">
    <w:altName w:val="宋体"/>
    <w:panose1 w:val="00000000000000000000"/>
    <w:charset w:val="86"/>
    <w:family w:val="swiss"/>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瀹嬩綋">
    <w:altName w:val="宋体"/>
    <w:panose1 w:val="00000000000000000000"/>
    <w:charset w:val="86"/>
    <w:family w:val="decorative"/>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瀹嬩綋">
    <w:altName w:val="宋体"/>
    <w:panose1 w:val="00000000000000000000"/>
    <w:charset w:val="86"/>
    <w:family w:val="roma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5778505">
    <w:nsid w:val="604ED2C9"/>
    <w:multiLevelType w:val="singleLevel"/>
    <w:tmpl w:val="604ED2C9"/>
    <w:lvl w:ilvl="0" w:tentative="1">
      <w:start w:val="1"/>
      <w:numFmt w:val="chineseCounting"/>
      <w:suff w:val="nothing"/>
      <w:lvlText w:val="（%1）"/>
      <w:lvlJc w:val="left"/>
    </w:lvl>
  </w:abstractNum>
  <w:abstractNum w:abstractNumId="1615780679">
    <w:nsid w:val="604EDB47"/>
    <w:multiLevelType w:val="singleLevel"/>
    <w:tmpl w:val="604EDB47"/>
    <w:lvl w:ilvl="0" w:tentative="1">
      <w:start w:val="2"/>
      <w:numFmt w:val="decimal"/>
      <w:suff w:val="nothing"/>
      <w:lvlText w:val="%1、"/>
      <w:lvlJc w:val="left"/>
    </w:lvl>
  </w:abstractNum>
  <w:abstractNum w:abstractNumId="1615855138">
    <w:nsid w:val="604FFE22"/>
    <w:multiLevelType w:val="singleLevel"/>
    <w:tmpl w:val="604FFE22"/>
    <w:lvl w:ilvl="0" w:tentative="1">
      <w:start w:val="3"/>
      <w:numFmt w:val="chineseCounting"/>
      <w:suff w:val="nothing"/>
      <w:lvlText w:val="（%1）"/>
      <w:lvlJc w:val="left"/>
    </w:lvl>
  </w:abstractNum>
  <w:num w:numId="1">
    <w:abstractNumId w:val="1615778505"/>
  </w:num>
  <w:num w:numId="2">
    <w:abstractNumId w:val="1615780679"/>
  </w:num>
  <w:num w:numId="3">
    <w:abstractNumId w:val="16158551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0C"/>
    <w:rsid w:val="00044046"/>
    <w:rsid w:val="00104713"/>
    <w:rsid w:val="00287CEC"/>
    <w:rsid w:val="003F43A0"/>
    <w:rsid w:val="004B200E"/>
    <w:rsid w:val="00513470"/>
    <w:rsid w:val="005D1733"/>
    <w:rsid w:val="00724820"/>
    <w:rsid w:val="007878FC"/>
    <w:rsid w:val="00792852"/>
    <w:rsid w:val="007C1E23"/>
    <w:rsid w:val="007E5BC2"/>
    <w:rsid w:val="008041B2"/>
    <w:rsid w:val="008A0B37"/>
    <w:rsid w:val="008E4C8B"/>
    <w:rsid w:val="008F2355"/>
    <w:rsid w:val="00933D4A"/>
    <w:rsid w:val="00940BBE"/>
    <w:rsid w:val="00972458"/>
    <w:rsid w:val="009850E5"/>
    <w:rsid w:val="00A044BB"/>
    <w:rsid w:val="00A8480F"/>
    <w:rsid w:val="00B35011"/>
    <w:rsid w:val="00B441A2"/>
    <w:rsid w:val="00B64890"/>
    <w:rsid w:val="00B7520E"/>
    <w:rsid w:val="00C1254C"/>
    <w:rsid w:val="00C84CD7"/>
    <w:rsid w:val="00C85B7E"/>
    <w:rsid w:val="00CE4780"/>
    <w:rsid w:val="00CF3ABE"/>
    <w:rsid w:val="00D80C0C"/>
    <w:rsid w:val="00DB43AB"/>
    <w:rsid w:val="00E15CB5"/>
    <w:rsid w:val="00E45D0B"/>
    <w:rsid w:val="00E97030"/>
    <w:rsid w:val="00EC6D3C"/>
    <w:rsid w:val="00EF0EE6"/>
    <w:rsid w:val="00F36F5F"/>
    <w:rsid w:val="00FE08DD"/>
    <w:rsid w:val="00FF73EE"/>
    <w:rsid w:val="097F0676"/>
    <w:rsid w:val="122A7B1E"/>
    <w:rsid w:val="16CE0034"/>
    <w:rsid w:val="1C0705C9"/>
    <w:rsid w:val="25A04EFA"/>
    <w:rsid w:val="26BB1E30"/>
    <w:rsid w:val="2950487D"/>
    <w:rsid w:val="29A25B6D"/>
    <w:rsid w:val="3DCB43AE"/>
    <w:rsid w:val="4574063F"/>
    <w:rsid w:val="48A56F00"/>
    <w:rsid w:val="4B2E49CD"/>
    <w:rsid w:val="4FE03D95"/>
    <w:rsid w:val="56FA31CC"/>
    <w:rsid w:val="5B7F18F8"/>
    <w:rsid w:val="5D146857"/>
    <w:rsid w:val="62776CF1"/>
    <w:rsid w:val="65D834ED"/>
    <w:rsid w:val="6E393CBE"/>
    <w:rsid w:val="71E83E36"/>
    <w:rsid w:val="75491D90"/>
    <w:rsid w:val="75A95069"/>
    <w:rsid w:val="76A0571E"/>
    <w:rsid w:val="76E85952"/>
    <w:rsid w:val="772F67D9"/>
    <w:rsid w:val="7A4136B6"/>
    <w:rsid w:val="7FDB11C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000FF"/>
      <w:u w:val="single"/>
    </w:r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sz="1400" b="1" kern="1200" spc="0" baseline="0">
              <a:gradFill>
                <a:gsLst>
                  <a:gs pos="0">
                    <a:srgbClr val="FE4444"/>
                  </a:gs>
                  <a:gs pos="100000">
                    <a:srgbClr val="832B2B"/>
                  </a:gs>
                </a:gsLst>
                <a:lin ang="5400000" scaled="0"/>
              </a:gradFill>
              <a:latin typeface="+mn-lt"/>
              <a:ea typeface="+mn-ea"/>
              <a:cs typeface="+mn-cs"/>
            </a:defRPr>
          </a:pPr>
        </a:p>
      </c:txPr>
    </c:title>
    <c:autoTitleDeleted val="0"/>
    <c:plotArea>
      <c:layout/>
      <c:pieChart>
        <c:varyColors val="1"/>
        <c:ser>
          <c:idx val="0"/>
          <c:order val="0"/>
          <c:tx>
            <c:strRef>
              <c:f>Sheet1!$B$1</c:f>
              <c:strCache>
                <c:ptCount val="1"/>
                <c:pt idx="0">
                  <c:v>万宁市政府门户网站信息发布量(4471条)</c:v>
                </c:pt>
              </c:strCache>
            </c:strRef>
          </c:tx>
          <c:spPr>
            <a:effectLst/>
          </c:spPr>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1125"/>
                  <c:y val="0.1075"/>
                </c:manualLayout>
              </c:layout>
              <c:numFmt formatCode="General" sourceLinked="1"/>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3125"/>
                  <c:y val="0.0325"/>
                </c:manualLayout>
              </c:layout>
              <c:numFmt formatCode="General" sourceLinked="1"/>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4375"/>
                  <c:y val="-0.115"/>
                </c:manualLayout>
              </c:layout>
              <c:numFmt formatCode="General" sourceLinked="1"/>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
                  <c:y val="0.0375"/>
                </c:manualLayout>
              </c:layout>
              <c:numFmt formatCode="General" sourceLinked="1"/>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anchor="ctr" anchorCtr="1"/>
              <a:lstStyle/>
              <a:p>
                <a:pPr>
                  <a:defRPr sz="1200" b="1" kern="120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strRef>
              <c:f>Sheet1!$A$2:$A$5</c:f>
              <c:strCache>
                <c:ptCount val="4"/>
                <c:pt idx="0">
                  <c:v>概况类</c:v>
                </c:pt>
                <c:pt idx="1">
                  <c:v>政务动态类</c:v>
                </c:pt>
                <c:pt idx="2">
                  <c:v>政府信息类</c:v>
                </c:pt>
                <c:pt idx="3">
                  <c:v>其他类</c:v>
                </c:pt>
              </c:strCache>
            </c:strRef>
          </c:cat>
          <c:val>
            <c:numRef>
              <c:f>Sheet1!$B$2:$B$5</c:f>
              <c:numCache>
                <c:formatCode>General</c:formatCode>
                <c:ptCount val="4"/>
                <c:pt idx="0" c:formatCode="General">
                  <c:v>185</c:v>
                </c:pt>
                <c:pt idx="1" c:formatCode="General">
                  <c:v>926</c:v>
                </c:pt>
                <c:pt idx="2" c:formatCode="General">
                  <c:v>2137</c:v>
                </c:pt>
                <c:pt idx="3" c:formatCode="General">
                  <c:v>1408</c:v>
                </c:pt>
              </c:numCache>
            </c:numRef>
          </c:val>
        </c:ser>
        <c:dLbls>
          <c:dLblPos val="bestFit"/>
          <c:showLegendKey val="0"/>
          <c:showVal val="0"/>
          <c:showCatName val="0"/>
          <c:showSerName val="0"/>
          <c:showPercent val="0"/>
          <c:showBubbleSize val="0"/>
        </c:dLbls>
        <c:firstSliceAng val="0"/>
      </c:pieChart>
      <c:spPr>
        <a:noFill/>
        <a:ln>
          <a:noFill/>
        </a:ln>
        <a:effectLst/>
      </c:spPr>
    </c:plotArea>
    <c:legend>
      <c:legendPos val="b"/>
      <c:legendEntry>
        <c:idx val="0"/>
        <c:txPr>
          <a:bodyPr rot="0" spcFirstLastPara="0" vertOverflow="ellipsis" horzOverflow="overflow" vert="horz" wrap="square" anchor="ctr" anchorCtr="1"/>
          <a:lstStyle/>
          <a:p>
            <a:pPr>
              <a:defRPr sz="1200" b="1"/>
            </a:pPr>
          </a:p>
        </c:txPr>
      </c:legendEntry>
      <c:legendEntry>
        <c:idx val="1"/>
        <c:txPr>
          <a:bodyPr rot="0" spcFirstLastPara="0" vertOverflow="ellipsis" horzOverflow="overflow" vert="horz" wrap="square" anchor="ctr" anchorCtr="1"/>
          <a:lstStyle/>
          <a:p>
            <a:pPr>
              <a:defRPr sz="1200" b="1"/>
            </a:pPr>
          </a:p>
        </c:txPr>
      </c:legendEntry>
      <c:legendEntry>
        <c:idx val="2"/>
        <c:txPr>
          <a:bodyPr rot="0" spcFirstLastPara="0" vertOverflow="ellipsis" horzOverflow="overflow" vert="horz" wrap="square" anchor="ctr" anchorCtr="1"/>
          <a:lstStyle/>
          <a:p>
            <a:pPr>
              <a:defRPr sz="1200" b="1"/>
            </a:pPr>
          </a:p>
        </c:txPr>
      </c:legendEntry>
      <c:legendEntry>
        <c:idx val="3"/>
        <c:txPr>
          <a:bodyPr rot="0" spcFirstLastPara="0" vertOverflow="ellipsis" horzOverflow="overflow" vert="horz" wrap="square" anchor="ctr" anchorCtr="1"/>
          <a:lstStyle/>
          <a:p>
            <a:pPr>
              <a:defRPr sz="1200" b="1"/>
            </a:pPr>
          </a:p>
        </c:txPr>
      </c:legendEntry>
      <c:layout/>
      <c:overlay val="0"/>
      <c:spPr>
        <a:noFill/>
        <a:ln>
          <a:noFill/>
        </a:ln>
        <a:effectLst/>
      </c:spPr>
      <c:txPr>
        <a:bodyPr rot="0" spcFirstLastPara="0" vertOverflow="ellipsis" horzOverflow="overflow" vert="horz" wrap="square" anchor="ctr" anchorCtr="1"/>
        <a:lstStyle/>
        <a:p>
          <a:pPr>
            <a:defRPr sz="1200" b="1" kern="120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sz="1400" b="1" kern="1200" spc="0" baseline="0">
              <a:gradFill>
                <a:gsLst>
                  <a:gs pos="0">
                    <a:srgbClr val="FE4444"/>
                  </a:gs>
                  <a:gs pos="100000">
                    <a:srgbClr val="832B2B"/>
                  </a:gs>
                </a:gsLst>
                <a:lin ang="5400000" scaled="0"/>
              </a:gradFill>
              <a:latin typeface="+mn-lt"/>
              <a:ea typeface="+mn-ea"/>
              <a:cs typeface="+mn-cs"/>
            </a:defRPr>
          </a:pPr>
        </a:p>
      </c:txPr>
    </c:title>
    <c:autoTitleDeleted val="0"/>
    <c:plotArea>
      <c:layout/>
      <c:pieChart>
        <c:varyColors val="1"/>
        <c:ser>
          <c:idx val="0"/>
          <c:order val="0"/>
          <c:tx>
            <c:strRef>
              <c:f>Sheet1!$B$1</c:f>
              <c:strCache>
                <c:ptCount val="1"/>
                <c:pt idx="0">
                  <c:v>移动新媒体发布信息量（4530条）</c:v>
                </c:pt>
              </c:strCache>
            </c:strRef>
          </c:tx>
          <c:spPr>
            <a:effectLst/>
          </c:spPr>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45"/>
                  <c:y val="0.0275"/>
                </c:manualLayout>
              </c:layout>
              <c:numFmt formatCode="General" sourceLinked="1"/>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9"/>
                  <c:y val="-0.05"/>
                </c:manualLayout>
              </c:layout>
              <c:numFmt formatCode="General" sourceLinked="1"/>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anchor="ctr" anchorCtr="1"/>
              <a:lstStyle/>
              <a:p>
                <a:pPr>
                  <a:defRPr sz="1200" b="1" kern="120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微博发布</c:v>
                </c:pt>
                <c:pt idx="1">
                  <c:v>微信发布</c:v>
                </c:pt>
              </c:strCache>
            </c:strRef>
          </c:cat>
          <c:val>
            <c:numRef>
              <c:f>Sheet1!$B$2:$B$3</c:f>
              <c:numCache>
                <c:formatCode>General</c:formatCode>
                <c:ptCount val="2"/>
                <c:pt idx="0" c:formatCode="General">
                  <c:v>1226</c:v>
                </c:pt>
                <c:pt idx="1" c:formatCode="General">
                  <c:v>3304</c:v>
                </c:pt>
              </c:numCache>
            </c:numRef>
          </c:val>
        </c:ser>
        <c:dLbls>
          <c:dLblPos val="bestFit"/>
          <c:showLegendKey val="0"/>
          <c:showVal val="0"/>
          <c:showCatName val="0"/>
          <c:showSerName val="0"/>
          <c:showPercent val="0"/>
          <c:showBubbleSize val="0"/>
        </c:dLbls>
        <c:firstSliceAng val="0"/>
      </c:pieChart>
      <c:spPr>
        <a:noFill/>
        <a:ln>
          <a:noFill/>
        </a:ln>
        <a:effectLst/>
      </c:spPr>
    </c:plotArea>
    <c:legend>
      <c:legendPos val="b"/>
      <c:legendEntry>
        <c:idx val="0"/>
        <c:txPr>
          <a:bodyPr rot="0" spcFirstLastPara="0" vertOverflow="ellipsis" horzOverflow="overflow" vert="horz" wrap="square" anchor="ctr" anchorCtr="1"/>
          <a:lstStyle/>
          <a:p>
            <a:pPr>
              <a:defRPr sz="1200" b="1"/>
            </a:pPr>
          </a:p>
        </c:txPr>
      </c:legendEntry>
      <c:legendEntry>
        <c:idx val="1"/>
        <c:txPr>
          <a:bodyPr rot="0" spcFirstLastPara="0" vertOverflow="ellipsis" horzOverflow="overflow" vert="horz" wrap="square" anchor="ctr" anchorCtr="1"/>
          <a:lstStyle/>
          <a:p>
            <a:pPr>
              <a:defRPr sz="1200" b="1"/>
            </a:pPr>
          </a:p>
        </c:txPr>
      </c:legendEntry>
      <c:layout/>
      <c:overlay val="0"/>
      <c:spPr>
        <a:noFill/>
        <a:ln>
          <a:noFill/>
        </a:ln>
        <a:effectLst/>
      </c:spPr>
      <c:txPr>
        <a:bodyPr rot="0" spcFirstLastPara="0" vertOverflow="ellipsis" horzOverflow="overflow" vert="horz" wrap="square" anchor="ctr" anchorCtr="1"/>
        <a:lstStyle/>
        <a:p>
          <a:pPr>
            <a:defRPr sz="1200" b="1" kern="120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vertOverflow="ellipsis" anchor="ctr" anchorCtr="1"/>
          <a:lstStyle/>
          <a:p>
            <a:pPr algn="ctr" defTabSz="914400">
              <a:defRPr sz="1400" b="0" kern="1200" spc="0" baseline="0">
                <a:solidFill>
                  <a:schemeClr val="tx1">
                    <a:lumMod val="65000"/>
                    <a:lumOff val="35000"/>
                  </a:schemeClr>
                </a:solidFill>
                <a:latin typeface="+mn-lt"/>
                <a:ea typeface="+mn-ea"/>
                <a:cs typeface="+mn-cs"/>
              </a:defRPr>
            </a:pPr>
            <a:r>
              <a:rPr sz="1400" b="1" i="0" u="none" strike="noStrike" kern="1200" cap="none" spc="0" normalizeH="0" baseline="0">
                <a:gradFill>
                  <a:gsLst>
                    <a:gs pos="0">
                      <a:srgbClr val="FE4444"/>
                    </a:gs>
                    <a:gs pos="100000">
                      <a:srgbClr val="832B2B"/>
                    </a:gs>
                  </a:gsLst>
                  <a:lin ang="5400000" scaled="0"/>
                </a:gradFill>
                <a:effectLst/>
                <a:latin typeface="+mn-lt"/>
                <a:ea typeface="+mn-ea"/>
                <a:cs typeface="+mn-cs"/>
              </a:rPr>
              <a:t>万宁市政府门户网站主动公开政府信息情况（条）</a:t>
            </a:r>
            <a:endParaRPr sz="1400" b="1" i="0" u="none" strike="noStrike" kern="1200" cap="none" spc="0" normalizeH="0" baseline="0">
              <a:gradFill>
                <a:gsLst>
                  <a:gs pos="0">
                    <a:srgbClr val="FE4444"/>
                  </a:gs>
                  <a:gs pos="100000">
                    <a:srgbClr val="832B2B"/>
                  </a:gs>
                </a:gsLst>
                <a:lin ang="5400000" scaled="0"/>
              </a:gradFill>
              <a:effectLst/>
              <a:latin typeface="+mn-lt"/>
              <a:ea typeface="+mn-ea"/>
              <a:cs typeface="+mn-cs"/>
            </a:endParaRPr>
          </a:p>
        </c:rich>
      </c:tx>
      <c:layout>
        <c:manualLayout>
          <c:xMode val="edge"/>
          <c:yMode val="edge"/>
          <c:x val="0.149163385826772"/>
          <c:y val="0.0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Pt>
            <c:idx val="0"/>
            <c:invertIfNegative val="0"/>
            <c:bubble3D val="0"/>
            <c:spPr>
              <a:solidFill>
                <a:schemeClr val="accent1"/>
              </a:solidFill>
              <a:ln>
                <a:noFill/>
              </a:ln>
              <a:effectLst/>
            </c:spPr>
          </c:dPt>
          <c:dLbls>
            <c:dLbl>
              <c:idx val="0"/>
              <c:layout>
                <c:manualLayout>
                  <c:x val="-0.01125"/>
                  <c:y val="0.235"/>
                </c:manualLayout>
              </c:layout>
              <c:numFmt formatCode="General" sourceLinked="1"/>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anchor="ctr" anchorCtr="1"/>
              <a:lstStyle/>
              <a:p>
                <a:pPr>
                  <a:defRPr sz="1200" b="1" kern="120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strRef>
              <c:f>Sheet1!$A$2</c:f>
              <c:strCache>
                <c:ptCount val="1"/>
                <c:pt idx="0">
                  <c:v>主动公开政府信息</c:v>
                </c:pt>
              </c:strCache>
            </c:strRef>
          </c:cat>
          <c:val>
            <c:numRef>
              <c:f>Sheet1!$B$2</c:f>
              <c:numCache>
                <c:formatCode>General</c:formatCode>
                <c:ptCount val="1"/>
                <c:pt idx="0" c:formatCode="General">
                  <c:v>1424</c:v>
                </c:pt>
              </c:numCache>
            </c:numRef>
          </c:val>
        </c:ser>
        <c:ser>
          <c:idx val="1"/>
          <c:order val="1"/>
          <c:tx>
            <c:strRef>
              <c:f>Sheet1!$C$1</c:f>
              <c:strCache>
                <c:ptCount val="1"/>
                <c:pt idx="0">
                  <c:v>2019</c:v>
                </c:pt>
              </c:strCache>
            </c:strRef>
          </c:tx>
          <c:spPr>
            <a:solidFill>
              <a:schemeClr val="accent2"/>
            </a:solidFill>
            <a:ln>
              <a:noFill/>
            </a:ln>
            <a:effectLst/>
          </c:spPr>
          <c:invertIfNegative val="0"/>
          <c:dLbls>
            <c:dLbl>
              <c:idx val="0"/>
              <c:layout>
                <c:manualLayout>
                  <c:x val="-0.005625"/>
                  <c:y val="0.1325"/>
                </c:manualLayout>
              </c:layout>
              <c:numFmt formatCode="General" sourceLinked="1"/>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anchor="ctr" anchorCtr="1"/>
              <a:lstStyle/>
              <a:p>
                <a:pPr>
                  <a:defRPr sz="1200" b="1" kern="120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strRef>
              <c:f>Sheet1!$A$2</c:f>
              <c:strCache>
                <c:ptCount val="1"/>
                <c:pt idx="0">
                  <c:v>主动公开政府信息</c:v>
                </c:pt>
              </c:strCache>
            </c:strRef>
          </c:cat>
          <c:val>
            <c:numRef>
              <c:f>Sheet1!$C$2</c:f>
              <c:numCache>
                <c:formatCode>General</c:formatCode>
                <c:ptCount val="1"/>
                <c:pt idx="0" c:formatCode="General">
                  <c:v>657</c:v>
                </c:pt>
              </c:numCache>
            </c:numRef>
          </c:val>
        </c:ser>
        <c:ser>
          <c:idx val="2"/>
          <c:order val="2"/>
          <c:tx>
            <c:strRef>
              <c:f>Sheet1!$D$1</c:f>
              <c:strCache>
                <c:ptCount val="1"/>
                <c:pt idx="0">
                  <c:v>2020</c:v>
                </c:pt>
              </c:strCache>
            </c:strRef>
          </c:tx>
          <c:spPr>
            <a:solidFill>
              <a:schemeClr val="accent3"/>
            </a:solidFill>
            <a:ln>
              <a:noFill/>
            </a:ln>
            <a:effectLst/>
          </c:spPr>
          <c:invertIfNegative val="0"/>
          <c:dPt>
            <c:idx val="0"/>
            <c:invertIfNegative val="0"/>
            <c:bubble3D val="0"/>
            <c:spPr>
              <a:solidFill>
                <a:schemeClr val="accent6"/>
              </a:solidFill>
              <a:ln>
                <a:noFill/>
              </a:ln>
              <a:effectLst/>
            </c:spPr>
          </c:dPt>
          <c:dLbls>
            <c:dLbl>
              <c:idx val="0"/>
              <c:layout>
                <c:manualLayout>
                  <c:x val="0"/>
                  <c:y val="0.375"/>
                </c:manualLayout>
              </c:layout>
              <c:numFmt formatCode="General" sourceLinked="1"/>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anchor="ctr" anchorCtr="1"/>
              <a:lstStyle/>
              <a:p>
                <a:pPr>
                  <a:defRPr sz="1200" b="1" kern="120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strRef>
              <c:f>Sheet1!$A$2</c:f>
              <c:strCache>
                <c:ptCount val="1"/>
                <c:pt idx="0">
                  <c:v>主动公开政府信息</c:v>
                </c:pt>
              </c:strCache>
            </c:strRef>
          </c:cat>
          <c:val>
            <c:numRef>
              <c:f>Sheet1!$D$2</c:f>
              <c:numCache>
                <c:formatCode>General</c:formatCode>
                <c:ptCount val="1"/>
                <c:pt idx="0" c:formatCode="General">
                  <c:v>2137</c:v>
                </c:pt>
              </c:numCache>
            </c:numRef>
          </c:val>
        </c:ser>
        <c:dLbls>
          <c:dLblPos val="outEnd"/>
          <c:showLegendKey val="0"/>
          <c:showVal val="0"/>
          <c:showCatName val="0"/>
          <c:showSerName val="0"/>
          <c:showPercent val="0"/>
          <c:showBubbleSize val="0"/>
        </c:dLbls>
        <c:gapWidth val="219"/>
        <c:overlap val="-27"/>
        <c:axId val="699947924"/>
        <c:axId val="446721702"/>
      </c:barChart>
      <c:catAx>
        <c:axId val="6999479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crossAx val="446721702"/>
        <c:crosses val="autoZero"/>
        <c:auto val="1"/>
        <c:lblAlgn val="ctr"/>
        <c:lblOffset val="100"/>
        <c:tickMarkSkip val="1"/>
        <c:noMultiLvlLbl val="0"/>
      </c:catAx>
      <c:valAx>
        <c:axId val="44672170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crossAx val="699947924"/>
        <c:crosses val="autoZero"/>
        <c:crossBetween val="between"/>
      </c:valAx>
      <c:spPr>
        <a:noFill/>
        <a:ln>
          <a:noFill/>
        </a:ln>
        <a:effectLst/>
      </c:spPr>
    </c:plotArea>
    <c:legend>
      <c:legendPos val="b"/>
      <c:legendEntry>
        <c:idx val="0"/>
        <c:txPr>
          <a:bodyPr rot="0" spcFirstLastPara="0" vertOverflow="ellipsis" horzOverflow="overflow" vert="horz" wrap="square" anchor="ctr" anchorCtr="1"/>
          <a:lstStyle/>
          <a:p>
            <a:pPr>
              <a:defRPr sz="1200" b="1"/>
            </a:pPr>
          </a:p>
        </c:txPr>
      </c:legendEntry>
      <c:legendEntry>
        <c:idx val="1"/>
        <c:txPr>
          <a:bodyPr rot="0" spcFirstLastPara="0" vertOverflow="ellipsis" horzOverflow="overflow" vert="horz" wrap="square" anchor="ctr" anchorCtr="1"/>
          <a:lstStyle/>
          <a:p>
            <a:pPr>
              <a:defRPr sz="1200" b="1"/>
            </a:pPr>
          </a:p>
        </c:txPr>
      </c:legendEntry>
      <c:legendEntry>
        <c:idx val="2"/>
        <c:txPr>
          <a:bodyPr rot="0" spcFirstLastPara="0" vertOverflow="ellipsis" horzOverflow="overflow" vert="horz" wrap="square" anchor="ctr" anchorCtr="1"/>
          <a:lstStyle/>
          <a:p>
            <a:pPr>
              <a:defRPr sz="1200" b="1"/>
            </a:pPr>
          </a:p>
        </c:txPr>
      </c:legendEntry>
      <c:layout/>
      <c:overlay val="0"/>
      <c:spPr>
        <a:noFill/>
        <a:ln>
          <a:noFill/>
        </a:ln>
        <a:effectLst/>
      </c:spPr>
      <c:txPr>
        <a:bodyPr rot="0" spcFirstLastPara="0" vertOverflow="ellipsis" horzOverflow="overflow" vert="horz" wrap="square" anchor="ctr" anchorCtr="1"/>
        <a:lstStyle/>
        <a:p>
          <a:pPr>
            <a:defRPr sz="1200" b="1" kern="120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vertOverflow="ellipsis" anchor="ctr" anchorCtr="1"/>
          <a:lstStyle/>
          <a:p>
            <a:pPr algn="ctr" defTabSz="914400">
              <a:defRPr sz="1400" b="1" kern="1200" spc="0" baseline="0">
                <a:gradFill>
                  <a:gsLst>
                    <a:gs pos="0">
                      <a:srgbClr val="FE4444"/>
                    </a:gs>
                    <a:gs pos="100000">
                      <a:srgbClr val="832B2B"/>
                    </a:gs>
                  </a:gsLst>
                  <a:lin ang="5400000" scaled="0"/>
                </a:gradFill>
                <a:latin typeface="+mn-lt"/>
                <a:ea typeface="+mn-ea"/>
                <a:cs typeface="+mn-cs"/>
              </a:defRPr>
            </a:pPr>
            <a:r>
              <a:rPr sz="1400" b="1" i="0" u="none" strike="noStrike" kern="1200" cap="none" spc="0" normalizeH="0" baseline="0">
                <a:gradFill>
                  <a:gsLst>
                    <a:gs pos="0">
                      <a:srgbClr val="FE4444"/>
                    </a:gs>
                    <a:gs pos="100000">
                      <a:srgbClr val="832B2B"/>
                    </a:gs>
                  </a:gsLst>
                  <a:lin ang="5400000" scaled="0"/>
                </a:gradFill>
                <a:effectLst/>
                <a:latin typeface="+mn-lt"/>
                <a:ea typeface="+mn-ea"/>
                <a:cs typeface="+mn-cs"/>
              </a:rPr>
              <a:t>政策解读发布情况（条）</a:t>
            </a:r>
            <a:endParaRPr sz="1400" b="1" i="0" u="none" strike="noStrike" kern="1200" cap="none" spc="0" normalizeH="0" baseline="0">
              <a:gradFill>
                <a:gsLst>
                  <a:gs pos="0">
                    <a:srgbClr val="FE4444"/>
                  </a:gs>
                  <a:gs pos="100000">
                    <a:srgbClr val="832B2B"/>
                  </a:gs>
                </a:gsLst>
                <a:lin ang="5400000" scaled="0"/>
              </a:gradFill>
              <a:effectLst/>
              <a:latin typeface="+mn-lt"/>
              <a:ea typeface="+mn-ea"/>
              <a:cs typeface="+mn-cs"/>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Lbl>
              <c:idx val="0"/>
              <c:layout>
                <c:manualLayout>
                  <c:x val="-0.00375"/>
                  <c:y val="0.1975"/>
                </c:manualLayout>
              </c:layout>
              <c:numFmt formatCode="General" sourceLinked="1"/>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anchor="ctr" anchorCtr="1"/>
              <a:lstStyle/>
              <a:p>
                <a:pPr>
                  <a:defRPr sz="1200" b="1" kern="120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strRef>
              <c:f>Sheet1!$A$2</c:f>
              <c:strCache>
                <c:ptCount val="1"/>
                <c:pt idx="0">
                  <c:v>政策解读</c:v>
                </c:pt>
              </c:strCache>
            </c:strRef>
          </c:cat>
          <c:val>
            <c:numRef>
              <c:f>Sheet1!$B$2</c:f>
              <c:numCache>
                <c:formatCode>General</c:formatCode>
                <c:ptCount val="1"/>
                <c:pt idx="0" c:formatCode="General">
                  <c:v>9</c:v>
                </c:pt>
              </c:numCache>
            </c:numRef>
          </c:val>
        </c:ser>
        <c:ser>
          <c:idx val="1"/>
          <c:order val="1"/>
          <c:tx>
            <c:strRef>
              <c:f>Sheet1!$C$1</c:f>
              <c:strCache>
                <c:ptCount val="1"/>
                <c:pt idx="0">
                  <c:v>2019年</c:v>
                </c:pt>
              </c:strCache>
            </c:strRef>
          </c:tx>
          <c:spPr>
            <a:solidFill>
              <a:schemeClr val="accent2"/>
            </a:solidFill>
            <a:ln>
              <a:noFill/>
            </a:ln>
            <a:effectLst/>
          </c:spPr>
          <c:invertIfNegative val="0"/>
          <c:dLbls>
            <c:dLbl>
              <c:idx val="0"/>
              <c:layout>
                <c:manualLayout>
                  <c:x val="-0.00375"/>
                  <c:y val="0.2975"/>
                </c:manualLayout>
              </c:layout>
              <c:numFmt formatCode="General" sourceLinked="1"/>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anchor="ctr" anchorCtr="1"/>
              <a:lstStyle/>
              <a:p>
                <a:pPr>
                  <a:defRPr sz="1200" b="1" kern="120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strRef>
              <c:f>Sheet1!$A$2</c:f>
              <c:strCache>
                <c:ptCount val="1"/>
                <c:pt idx="0">
                  <c:v>政策解读</c:v>
                </c:pt>
              </c:strCache>
            </c:strRef>
          </c:cat>
          <c:val>
            <c:numRef>
              <c:f>Sheet1!$C$2</c:f>
              <c:numCache>
                <c:formatCode>General</c:formatCode>
                <c:ptCount val="1"/>
                <c:pt idx="0" c:formatCode="General">
                  <c:v>13</c:v>
                </c:pt>
              </c:numCache>
            </c:numRef>
          </c:val>
        </c:ser>
        <c:ser>
          <c:idx val="2"/>
          <c:order val="2"/>
          <c:tx>
            <c:strRef>
              <c:f>Sheet1!$D$1</c:f>
              <c:strCache>
                <c:ptCount val="1"/>
                <c:pt idx="0">
                  <c:v>2020年</c:v>
                </c:pt>
              </c:strCache>
            </c:strRef>
          </c:tx>
          <c:spPr>
            <a:solidFill>
              <a:schemeClr val="accent6"/>
            </a:solidFill>
            <a:ln>
              <a:noFill/>
            </a:ln>
            <a:effectLst/>
          </c:spPr>
          <c:invertIfNegative val="0"/>
          <c:dLbls>
            <c:dLbl>
              <c:idx val="0"/>
              <c:layout>
                <c:manualLayout>
                  <c:x val="0.001875"/>
                  <c:y val="0.3775"/>
                </c:manualLayout>
              </c:layout>
              <c:numFmt formatCode="General" sourceLinked="1"/>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anchor="ctr" anchorCtr="1"/>
              <a:lstStyle/>
              <a:p>
                <a:pPr>
                  <a:defRPr sz="1200" b="1" kern="120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strRef>
              <c:f>Sheet1!$A$2</c:f>
              <c:strCache>
                <c:ptCount val="1"/>
                <c:pt idx="0">
                  <c:v>政策解读</c:v>
                </c:pt>
              </c:strCache>
            </c:strRef>
          </c:cat>
          <c:val>
            <c:numRef>
              <c:f>Sheet1!$D$2</c:f>
              <c:numCache>
                <c:formatCode>General</c:formatCode>
                <c:ptCount val="1"/>
                <c:pt idx="0" c:formatCode="General">
                  <c:v>17</c:v>
                </c:pt>
              </c:numCache>
            </c:numRef>
          </c:val>
        </c:ser>
        <c:dLbls>
          <c:dLblPos val="outEnd"/>
          <c:showLegendKey val="0"/>
          <c:showVal val="0"/>
          <c:showCatName val="0"/>
          <c:showSerName val="0"/>
          <c:showPercent val="0"/>
          <c:showBubbleSize val="0"/>
        </c:dLbls>
        <c:gapWidth val="219"/>
        <c:overlap val="-27"/>
        <c:axId val="216040654"/>
        <c:axId val="607640528"/>
      </c:barChart>
      <c:catAx>
        <c:axId val="21604065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sz="1200" b="1" kern="1200">
                <a:solidFill>
                  <a:schemeClr val="tx1">
                    <a:lumMod val="65000"/>
                    <a:lumOff val="35000"/>
                  </a:schemeClr>
                </a:solidFill>
                <a:latin typeface="+mn-lt"/>
                <a:ea typeface="+mn-ea"/>
                <a:cs typeface="+mn-cs"/>
              </a:defRPr>
            </a:pPr>
          </a:p>
        </c:txPr>
        <c:crossAx val="607640528"/>
        <c:crosses val="autoZero"/>
        <c:auto val="1"/>
        <c:lblAlgn val="ctr"/>
        <c:lblOffset val="100"/>
        <c:tickMarkSkip val="1"/>
        <c:noMultiLvlLbl val="0"/>
      </c:catAx>
      <c:valAx>
        <c:axId val="607640528"/>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crossAx val="216040654"/>
        <c:crosses val="autoZero"/>
        <c:crossBetween val="between"/>
      </c:valAx>
      <c:spPr>
        <a:noFill/>
        <a:ln>
          <a:noFill/>
        </a:ln>
        <a:effectLst/>
      </c:spPr>
    </c:plotArea>
    <c:legend>
      <c:legendPos val="b"/>
      <c:legendEntry>
        <c:idx val="0"/>
        <c:txPr>
          <a:bodyPr rot="0" spcFirstLastPara="0" vertOverflow="ellipsis" horzOverflow="overflow" vert="horz" wrap="square" anchor="ctr" anchorCtr="1"/>
          <a:lstStyle/>
          <a:p>
            <a:pPr>
              <a:defRPr sz="1200" b="1"/>
            </a:pPr>
          </a:p>
        </c:txPr>
      </c:legendEntry>
      <c:legendEntry>
        <c:idx val="1"/>
        <c:txPr>
          <a:bodyPr rot="0" spcFirstLastPara="0" vertOverflow="ellipsis" horzOverflow="overflow" vert="horz" wrap="square" anchor="ctr" anchorCtr="1"/>
          <a:lstStyle/>
          <a:p>
            <a:pPr>
              <a:defRPr sz="1200" b="1"/>
            </a:pPr>
          </a:p>
        </c:txPr>
      </c:legendEntry>
      <c:legendEntry>
        <c:idx val="2"/>
        <c:txPr>
          <a:bodyPr rot="0" spcFirstLastPara="0" vertOverflow="ellipsis" horzOverflow="overflow" vert="horz" wrap="square" anchor="ctr" anchorCtr="1"/>
          <a:lstStyle/>
          <a:p>
            <a:pPr>
              <a:defRPr sz="1200" b="1"/>
            </a:pPr>
          </a:p>
        </c:txPr>
      </c:legendEntry>
      <c:layout/>
      <c:overlay val="0"/>
      <c:spPr>
        <a:noFill/>
        <a:ln>
          <a:noFill/>
        </a:ln>
        <a:effectLst/>
      </c:spPr>
      <c:txPr>
        <a:bodyPr rot="0" spcFirstLastPara="0" vertOverflow="ellipsis" horzOverflow="overflow" vert="horz" wrap="square" anchor="ctr" anchorCtr="1"/>
        <a:lstStyle/>
        <a:p>
          <a:pPr>
            <a:defRPr sz="1200" b="1" kern="120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sz="1400" b="1" kern="1200" spc="0" baseline="0">
              <a:gradFill>
                <a:gsLst>
                  <a:gs pos="0">
                    <a:srgbClr val="FE4444"/>
                  </a:gs>
                  <a:gs pos="100000">
                    <a:srgbClr val="832B2B"/>
                  </a:gs>
                </a:gsLst>
                <a:lin ang="5400000" scaled="0"/>
              </a:gradFill>
              <a:latin typeface="+mn-lt"/>
              <a:ea typeface="+mn-ea"/>
              <a:cs typeface="+mn-cs"/>
            </a:defRPr>
          </a:pPr>
        </a:p>
      </c:txPr>
    </c:title>
    <c:autoTitleDeleted val="0"/>
    <c:plotArea>
      <c:layout/>
      <c:pieChart>
        <c:varyColors val="1"/>
        <c:ser>
          <c:idx val="0"/>
          <c:order val="0"/>
          <c:tx>
            <c:strRef>
              <c:f>Sheet1!$B$1</c:f>
              <c:strCache>
                <c:ptCount val="1"/>
                <c:pt idx="0">
                  <c:v>依申请公开信息答复情况（17件）</c:v>
                </c:pt>
              </c:strCache>
            </c:strRef>
          </c:tx>
          <c:spPr>
            <a:effectLst/>
          </c:spPr>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09"/>
                  <c:y val="0.0075"/>
                </c:manualLayout>
              </c:layout>
              <c:numFmt formatCode="General" sourceLinked="1"/>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6875"/>
                  <c:y val="-0.0675"/>
                </c:manualLayout>
              </c:layout>
              <c:numFmt formatCode="General" sourceLinked="1"/>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875"/>
                  <c:y val="-0.005"/>
                </c:manualLayout>
              </c:layout>
              <c:numFmt formatCode="General" sourceLinked="1"/>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875"/>
                  <c:y val="0.00749999999999998"/>
                </c:manualLayout>
              </c:layout>
              <c:numFmt formatCode="General" sourceLinked="1"/>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anchor="ctr" anchorCtr="1"/>
              <a:lstStyle/>
              <a:p>
                <a:pPr>
                  <a:defRPr sz="1200" b="1" kern="120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strRef>
              <c:f>Sheet1!$A$2:$A$7</c:f>
              <c:strCache>
                <c:ptCount val="6"/>
                <c:pt idx="0">
                  <c:v>同意公开答复</c:v>
                </c:pt>
                <c:pt idx="1">
                  <c:v>不予公开</c:v>
                </c:pt>
                <c:pt idx="2">
                  <c:v>不属于本机关公开</c:v>
                </c:pt>
                <c:pt idx="3">
                  <c:v>申请信息不存在</c:v>
                </c:pt>
                <c:pt idx="4">
                  <c:v>告知作出更改补充</c:v>
                </c:pt>
                <c:pt idx="5">
                  <c:v>其他</c:v>
                </c:pt>
              </c:strCache>
            </c:strRef>
          </c:cat>
          <c:val>
            <c:numRef>
              <c:f>Sheet1!$B$2:$B$7</c:f>
              <c:numCache>
                <c:formatCode>General</c:formatCode>
                <c:ptCount val="6"/>
                <c:pt idx="0" c:formatCode="General">
                  <c:v>8</c:v>
                </c:pt>
                <c:pt idx="1" c:formatCode="General">
                  <c:v>4</c:v>
                </c:pt>
                <c:pt idx="2" c:formatCode="General">
                  <c:v>1</c:v>
                </c:pt>
                <c:pt idx="3" c:formatCode="General">
                  <c:v>2</c:v>
                </c:pt>
                <c:pt idx="4" c:formatCode="General">
                  <c:v>1</c:v>
                </c:pt>
                <c:pt idx="5" c:formatCode="General">
                  <c:v>1</c:v>
                </c:pt>
              </c:numCache>
            </c:numRef>
          </c:val>
        </c:ser>
        <c:dLbls>
          <c:dLblPos val="bestFit"/>
          <c:showLegendKey val="0"/>
          <c:showVal val="0"/>
          <c:showCatName val="0"/>
          <c:showSerName val="0"/>
          <c:showPercent val="0"/>
          <c:showBubbleSize val="0"/>
        </c:dLbls>
        <c:firstSliceAng val="0"/>
      </c:pieChart>
      <c:spPr>
        <a:noFill/>
        <a:ln>
          <a:noFill/>
        </a:ln>
        <a:effectLst/>
      </c:spPr>
    </c:plotArea>
    <c:legend>
      <c:legendPos val="b"/>
      <c:legendEntry>
        <c:idx val="0"/>
        <c:txPr>
          <a:bodyPr rot="0" spcFirstLastPara="0" vertOverflow="ellipsis" horzOverflow="overflow" vert="horz" wrap="square" anchor="ctr" anchorCtr="1"/>
          <a:lstStyle/>
          <a:p>
            <a:pPr>
              <a:defRPr sz="1200" b="1"/>
            </a:pPr>
          </a:p>
        </c:txPr>
      </c:legendEntry>
      <c:legendEntry>
        <c:idx val="1"/>
        <c:txPr>
          <a:bodyPr rot="0" spcFirstLastPara="0" vertOverflow="ellipsis" horzOverflow="overflow" vert="horz" wrap="square" anchor="ctr" anchorCtr="1"/>
          <a:lstStyle/>
          <a:p>
            <a:pPr>
              <a:defRPr sz="1200" b="1"/>
            </a:pPr>
          </a:p>
        </c:txPr>
      </c:legendEntry>
      <c:legendEntry>
        <c:idx val="2"/>
        <c:txPr>
          <a:bodyPr rot="0" spcFirstLastPara="0" vertOverflow="ellipsis" horzOverflow="overflow" vert="horz" wrap="square" anchor="ctr" anchorCtr="1"/>
          <a:lstStyle/>
          <a:p>
            <a:pPr>
              <a:defRPr sz="1200" b="1"/>
            </a:pPr>
          </a:p>
        </c:txPr>
      </c:legendEntry>
      <c:legendEntry>
        <c:idx val="3"/>
        <c:txPr>
          <a:bodyPr rot="0" spcFirstLastPara="0" vertOverflow="ellipsis" horzOverflow="overflow" vert="horz" wrap="square" anchor="ctr" anchorCtr="1"/>
          <a:lstStyle/>
          <a:p>
            <a:pPr>
              <a:defRPr sz="1200" b="1"/>
            </a:pPr>
          </a:p>
        </c:txPr>
      </c:legendEntry>
      <c:legendEntry>
        <c:idx val="4"/>
        <c:txPr>
          <a:bodyPr rot="0" spcFirstLastPara="0" vertOverflow="ellipsis" horzOverflow="overflow" vert="horz" wrap="square" anchor="ctr" anchorCtr="1"/>
          <a:lstStyle/>
          <a:p>
            <a:pPr>
              <a:defRPr sz="1200" b="1"/>
            </a:pPr>
          </a:p>
        </c:txPr>
      </c:legendEntry>
      <c:legendEntry>
        <c:idx val="5"/>
        <c:txPr>
          <a:bodyPr rot="0" spcFirstLastPara="0" vertOverflow="ellipsis" horzOverflow="overflow" vert="horz" wrap="square" anchor="ctr" anchorCtr="1"/>
          <a:lstStyle/>
          <a:p>
            <a:pPr>
              <a:defRPr sz="1200" b="1"/>
            </a:pPr>
          </a:p>
        </c:txPr>
      </c:legendEntry>
      <c:layout/>
      <c:overlay val="0"/>
      <c:spPr>
        <a:noFill/>
        <a:ln>
          <a:noFill/>
        </a:ln>
        <a:effectLst/>
      </c:spPr>
      <c:txPr>
        <a:bodyPr rot="0" spcFirstLastPara="0" vertOverflow="ellipsis" horzOverflow="overflow" vert="horz" wrap="square" anchor="ctr" anchorCtr="1"/>
        <a:lstStyle/>
        <a:p>
          <a:pPr>
            <a:defRPr sz="1200" b="1" kern="120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174</Words>
  <Characters>998</Characters>
  <Lines>8</Lines>
  <Paragraphs>2</Paragraphs>
  <ScaleCrop>false</ScaleCrop>
  <LinksUpToDate>false</LinksUpToDate>
  <CharactersWithSpaces>1170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2021-01-13T06:43:00Z</dcterms:created>
  <dc:creator>Administrator</dc:creator>
  <cp:lastModifiedBy>Administrator</cp:lastModifiedBy>
  <cp:lastPrinted>2021-03-17T02:37:58Z</cp:lastPrinted>
  <dcterms:modified xsi:type="dcterms:W3CDTF">2021-03-17T03:36:31Z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