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eastAsia="方正小标宋_GBK" w:cs="Times New Roman"/>
          <w:bCs/>
          <w:color w:val="0C0C0C"/>
          <w:kern w:val="0"/>
          <w:sz w:val="44"/>
          <w:szCs w:val="44"/>
          <w:highlight w:val="none"/>
          <w:shd w:val="clear" w:color="auto" w:fill="FFFFFF"/>
          <w:lang w:val="en-US" w:eastAsia="zh-CN" w:bidi="ar"/>
        </w:rPr>
      </w:pPr>
      <w:r>
        <w:rPr>
          <w:rFonts w:hint="eastAsia" w:eastAsia="方正小标宋_GBK" w:cs="Times New Roman"/>
          <w:bCs/>
          <w:color w:val="0C0C0C"/>
          <w:kern w:val="0"/>
          <w:sz w:val="44"/>
          <w:szCs w:val="44"/>
          <w:highlight w:val="none"/>
          <w:shd w:val="clear" w:color="auto" w:fill="FFFFFF"/>
          <w:lang w:val="en-US" w:eastAsia="zh-CN" w:bidi="ar"/>
        </w:rPr>
        <w:t>万宁市第五次全国经济普查公报（第六号）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eastAsia="方正小标宋_GBK" w:cs="Times New Roman"/>
          <w:bCs/>
          <w:color w:val="0C0C0C"/>
          <w:kern w:val="0"/>
          <w:sz w:val="44"/>
          <w:szCs w:val="44"/>
          <w:highlight w:val="none"/>
          <w:shd w:val="clear" w:color="auto" w:fill="FFFFFF"/>
          <w:lang w:val="en-US" w:eastAsia="zh-CN" w:bidi="ar"/>
        </w:rPr>
      </w:pPr>
      <w:r>
        <w:rPr>
          <w:rFonts w:hint="eastAsia" w:eastAsia="方正小标宋_GBK" w:cs="Times New Roman"/>
          <w:bCs/>
          <w:color w:val="0C0C0C"/>
          <w:kern w:val="0"/>
          <w:sz w:val="44"/>
          <w:szCs w:val="44"/>
          <w:highlight w:val="none"/>
          <w:shd w:val="clear" w:color="auto" w:fill="FFFFFF"/>
          <w:lang w:val="en-US" w:eastAsia="zh-CN" w:bidi="ar"/>
        </w:rPr>
        <w:t>——部分新兴产业发展情况</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万宁市统计局</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万宁市第五次全国经济普查领导小组办公室</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default"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w:t>
      </w:r>
      <w:r>
        <w:rPr>
          <w:rFonts w:hint="default" w:ascii="方正楷体_GBK" w:hAnsi="方正楷体_GBK" w:eastAsia="方正楷体_GBK" w:cs="方正楷体_GBK"/>
          <w:color w:val="0C0C0C"/>
          <w:kern w:val="2"/>
          <w:sz w:val="32"/>
          <w:szCs w:val="32"/>
          <w:highlight w:val="none"/>
          <w:lang w:val="en-US" w:eastAsia="zh-CN" w:bidi="ar-SA"/>
        </w:rPr>
        <w:t>202</w:t>
      </w:r>
      <w:r>
        <w:rPr>
          <w:rFonts w:hint="eastAsia" w:ascii="方正楷体_GBK" w:hAnsi="方正楷体_GBK" w:eastAsia="方正楷体_GBK" w:cs="方正楷体_GBK"/>
          <w:color w:val="0C0C0C"/>
          <w:kern w:val="2"/>
          <w:sz w:val="32"/>
          <w:szCs w:val="32"/>
          <w:highlight w:val="none"/>
          <w:lang w:val="en-US" w:eastAsia="zh-CN" w:bidi="ar-SA"/>
        </w:rPr>
        <w:t>5</w:t>
      </w:r>
      <w:r>
        <w:rPr>
          <w:rFonts w:hint="default" w:ascii="方正楷体_GBK" w:hAnsi="方正楷体_GBK" w:eastAsia="方正楷体_GBK" w:cs="方正楷体_GBK"/>
          <w:color w:val="0C0C0C"/>
          <w:kern w:val="2"/>
          <w:sz w:val="32"/>
          <w:szCs w:val="32"/>
          <w:highlight w:val="none"/>
          <w:lang w:val="en-US" w:eastAsia="zh-CN" w:bidi="ar-SA"/>
        </w:rPr>
        <w:t>年</w:t>
      </w:r>
      <w:r>
        <w:rPr>
          <w:rFonts w:hint="eastAsia" w:ascii="方正楷体_GBK" w:hAnsi="方正楷体_GBK" w:eastAsia="方正楷体_GBK" w:cs="方正楷体_GBK"/>
          <w:color w:val="0C0C0C"/>
          <w:kern w:val="2"/>
          <w:sz w:val="32"/>
          <w:szCs w:val="32"/>
          <w:highlight w:val="none"/>
          <w:lang w:val="en-US" w:eastAsia="zh-CN" w:bidi="ar-SA"/>
        </w:rPr>
        <w:t>5</w:t>
      </w:r>
      <w:bookmarkStart w:id="0" w:name="_GoBack"/>
      <w:bookmarkEnd w:id="0"/>
      <w:r>
        <w:rPr>
          <w:rFonts w:hint="default" w:ascii="方正楷体_GBK" w:hAnsi="方正楷体_GBK" w:eastAsia="方正楷体_GBK" w:cs="方正楷体_GBK"/>
          <w:color w:val="0C0C0C"/>
          <w:kern w:val="2"/>
          <w:sz w:val="32"/>
          <w:szCs w:val="32"/>
          <w:highlight w:val="none"/>
          <w:lang w:val="en-US" w:eastAsia="zh-CN" w:bidi="ar-SA"/>
        </w:rPr>
        <w:t>月</w:t>
      </w:r>
      <w:r>
        <w:rPr>
          <w:rFonts w:hint="eastAsia" w:ascii="方正楷体_GBK" w:hAnsi="方正楷体_GBK" w:eastAsia="方正楷体_GBK" w:cs="方正楷体_GBK"/>
          <w:color w:val="0C0C0C"/>
          <w:kern w:val="2"/>
          <w:sz w:val="32"/>
          <w:szCs w:val="32"/>
          <w:highlight w:val="none"/>
          <w:lang w:val="en-US" w:eastAsia="zh-CN" w:bidi="ar-SA"/>
        </w:rPr>
        <w:t>30</w:t>
      </w:r>
      <w:r>
        <w:rPr>
          <w:rFonts w:hint="default" w:ascii="方正楷体_GBK" w:hAnsi="方正楷体_GBK" w:eastAsia="方正楷体_GBK" w:cs="方正楷体_GBK"/>
          <w:color w:val="0C0C0C"/>
          <w:kern w:val="2"/>
          <w:sz w:val="32"/>
          <w:szCs w:val="32"/>
          <w:highlight w:val="none"/>
          <w:lang w:val="en-US" w:eastAsia="zh-CN" w:bidi="ar-SA"/>
        </w:rPr>
        <w:t>日</w:t>
      </w:r>
      <w:r>
        <w:rPr>
          <w:rFonts w:hint="eastAsia" w:ascii="方正楷体_GBK" w:hAnsi="方正楷体_GBK" w:eastAsia="方正楷体_GBK" w:cs="方正楷体_GBK"/>
          <w:color w:val="0C0C0C"/>
          <w:kern w:val="2"/>
          <w:sz w:val="32"/>
          <w:szCs w:val="32"/>
          <w:highlight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auto"/>
        <w:rPr>
          <w:rFonts w:hint="eastAsia" w:ascii="Times New Roman" w:hAnsi="Times New Roman" w:cs="Times New Roman"/>
          <w:color w:val="0C0C0C"/>
          <w:kern w:val="2"/>
          <w:sz w:val="36"/>
          <w:szCs w:val="36"/>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 xml:space="preserve">    根据第五次全市经济普查结果，现将我市第二产业和第三产业中战略性新兴产业、高技术产业、数字经济核心产业等新兴产业的主要数据公布如下：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b w:val="0"/>
          <w:bCs/>
          <w:i w:val="0"/>
          <w:caps w:val="0"/>
          <w:color w:val="0C0C0C"/>
          <w:spacing w:val="0"/>
          <w:kern w:val="0"/>
          <w:sz w:val="32"/>
          <w:szCs w:val="32"/>
          <w:highlight w:val="none"/>
          <w:lang w:val="en-US" w:eastAsia="zh-CN" w:bidi="ar"/>
        </w:rPr>
      </w:pPr>
      <w:r>
        <w:rPr>
          <w:rFonts w:hint="eastAsia" w:ascii="黑体" w:hAnsi="黑体" w:eastAsia="黑体" w:cs="黑体"/>
          <w:b w:val="0"/>
          <w:bCs/>
          <w:i w:val="0"/>
          <w:caps w:val="0"/>
          <w:color w:val="0C0C0C"/>
          <w:spacing w:val="0"/>
          <w:kern w:val="0"/>
          <w:sz w:val="32"/>
          <w:szCs w:val="32"/>
          <w:highlight w:val="none"/>
          <w:lang w:val="en-US" w:eastAsia="zh-CN" w:bidi="ar"/>
        </w:rPr>
        <w:t>一、数字经济核心产业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2023年末，共有数字经济核心产业企业法人单位204个，从业人员947人。全年实现营业收入82.19亿元。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黑体" w:hAnsi="黑体" w:eastAsia="黑体" w:cs="黑体"/>
          <w:i w:val="0"/>
          <w:caps w:val="0"/>
          <w:color w:val="0C0C0C"/>
          <w:spacing w:val="0"/>
          <w:sz w:val="32"/>
          <w:szCs w:val="32"/>
          <w:highlight w:val="none"/>
        </w:rPr>
      </w:pPr>
      <w:r>
        <w:rPr>
          <w:rFonts w:hint="eastAsia" w:ascii="黑体" w:hAnsi="黑体" w:eastAsia="黑体" w:cs="黑体"/>
          <w:b w:val="0"/>
          <w:bCs/>
          <w:i w:val="0"/>
          <w:caps w:val="0"/>
          <w:color w:val="0C0C0C"/>
          <w:spacing w:val="0"/>
          <w:kern w:val="0"/>
          <w:sz w:val="32"/>
          <w:szCs w:val="32"/>
          <w:highlight w:val="none"/>
          <w:lang w:val="en-US" w:eastAsia="zh-CN" w:bidi="ar"/>
        </w:rPr>
        <w:t>二、工业企业研究与试验发展活动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2023年，开展R&amp;D活动的规模以上工业企业法人单位</w:t>
      </w:r>
      <w:r>
        <w:rPr>
          <w:rFonts w:hint="eastAsia" w:ascii="仿宋" w:hAnsi="仿宋" w:eastAsia="仿宋" w:cs="仿宋"/>
          <w:color w:val="0C0C0C"/>
          <w:sz w:val="32"/>
          <w:szCs w:val="32"/>
          <w:u w:val="none"/>
          <w:lang w:val="en-US" w:eastAsia="zh-CN"/>
        </w:rPr>
        <w:t>8</w:t>
      </w:r>
      <w:r>
        <w:rPr>
          <w:rFonts w:hint="eastAsia" w:ascii="仿宋" w:hAnsi="仿宋" w:eastAsia="仿宋" w:cs="仿宋"/>
          <w:color w:val="0C0C0C"/>
          <w:spacing w:val="-6"/>
          <w:kern w:val="2"/>
          <w:sz w:val="32"/>
          <w:szCs w:val="32"/>
          <w:u w:val="none"/>
          <w:lang w:val="en-US" w:eastAsia="zh-CN" w:bidi="ar-SA"/>
        </w:rPr>
        <w:t>个，占全部规模以上工业企业法人单位的</w:t>
      </w:r>
      <w:r>
        <w:rPr>
          <w:rFonts w:hint="eastAsia" w:ascii="仿宋" w:hAnsi="仿宋" w:eastAsia="仿宋" w:cs="仿宋"/>
          <w:color w:val="0C0C0C"/>
          <w:sz w:val="32"/>
          <w:szCs w:val="32"/>
          <w:u w:val="none"/>
          <w:lang w:val="en-US" w:eastAsia="zh-CN"/>
        </w:rPr>
        <w:t>11</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2023年，规模以上工业企业法人单位R&amp;D人员折合全时当量</w:t>
      </w:r>
      <w:r>
        <w:rPr>
          <w:rFonts w:hint="eastAsia" w:ascii="仿宋" w:hAnsi="仿宋" w:eastAsia="仿宋" w:cs="仿宋"/>
          <w:color w:val="0C0C0C"/>
          <w:sz w:val="32"/>
          <w:szCs w:val="32"/>
          <w:u w:val="none"/>
          <w:lang w:val="en-US" w:eastAsia="zh-CN"/>
        </w:rPr>
        <w:t>1027</w:t>
      </w:r>
      <w:r>
        <w:rPr>
          <w:rFonts w:hint="eastAsia" w:ascii="仿宋" w:hAnsi="仿宋" w:eastAsia="仿宋" w:cs="仿宋"/>
          <w:color w:val="0C0C0C"/>
          <w:spacing w:val="-6"/>
          <w:kern w:val="2"/>
          <w:sz w:val="32"/>
          <w:szCs w:val="32"/>
          <w:u w:val="none"/>
          <w:lang w:val="en-US" w:eastAsia="zh-CN" w:bidi="ar-SA"/>
        </w:rPr>
        <w:t>人年。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2023年，规模以上工业企业法人单位R&amp;D经费支出</w:t>
      </w:r>
      <w:r>
        <w:rPr>
          <w:rFonts w:hint="eastAsia" w:ascii="仿宋" w:hAnsi="仿宋" w:eastAsia="仿宋" w:cs="仿宋"/>
          <w:color w:val="0C0C0C"/>
          <w:sz w:val="32"/>
          <w:szCs w:val="32"/>
          <w:u w:val="none"/>
          <w:lang w:val="en-US" w:eastAsia="zh-CN"/>
        </w:rPr>
        <w:t>9480.2万</w:t>
      </w:r>
      <w:r>
        <w:rPr>
          <w:rFonts w:hint="eastAsia" w:ascii="仿宋" w:hAnsi="仿宋" w:eastAsia="仿宋" w:cs="仿宋"/>
          <w:color w:val="0C0C0C"/>
          <w:spacing w:val="-6"/>
          <w:kern w:val="2"/>
          <w:sz w:val="32"/>
          <w:szCs w:val="32"/>
          <w:u w:val="none"/>
          <w:lang w:val="en-US" w:eastAsia="zh-CN" w:bidi="ar-SA"/>
        </w:rPr>
        <w:t>元；R&amp;D经费与营业收入之比为</w:t>
      </w:r>
      <w:r>
        <w:rPr>
          <w:rFonts w:hint="eastAsia" w:ascii="仿宋" w:hAnsi="仿宋" w:eastAsia="仿宋" w:cs="仿宋"/>
          <w:color w:val="0C0C0C"/>
          <w:sz w:val="32"/>
          <w:szCs w:val="32"/>
          <w:u w:val="none"/>
          <w:lang w:val="en-US" w:eastAsia="zh-CN"/>
        </w:rPr>
        <w:t>0.61</w:t>
      </w:r>
      <w:r>
        <w:rPr>
          <w:rFonts w:hint="eastAsia" w:ascii="仿宋" w:hAnsi="仿宋" w:eastAsia="仿宋" w:cs="仿宋"/>
          <w:color w:val="0C0C0C"/>
          <w:spacing w:val="-6"/>
          <w:kern w:val="2"/>
          <w:sz w:val="32"/>
          <w:szCs w:val="32"/>
          <w:u w:val="none"/>
          <w:lang w:val="en-US" w:eastAsia="zh-CN" w:bidi="ar-SA"/>
        </w:rPr>
        <w:t>%。规模以上工业企业法人单位分行业R&amp;D经费支出及R&amp;D经费与营业收入之比详见表6-1。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16"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C0C0C"/>
          <w:spacing w:val="-6"/>
          <w:kern w:val="2"/>
          <w:sz w:val="32"/>
          <w:szCs w:val="32"/>
          <w:u w:val="none"/>
          <w:lang w:val="en-US" w:eastAsia="zh-CN" w:bidi="ar-SA"/>
        </w:rPr>
        <w:t>20</w:t>
      </w:r>
      <w:r>
        <w:rPr>
          <w:rFonts w:hint="eastAsia" w:ascii="仿宋" w:hAnsi="仿宋" w:eastAsia="仿宋" w:cs="仿宋"/>
          <w:color w:val="0C0C0C"/>
          <w:spacing w:val="-6"/>
          <w:kern w:val="2"/>
          <w:sz w:val="32"/>
          <w:szCs w:val="32"/>
          <w:u w:val="none"/>
          <w:lang w:val="en" w:eastAsia="zh-CN" w:bidi="ar-SA"/>
        </w:rPr>
        <w:t>23</w:t>
      </w:r>
      <w:r>
        <w:rPr>
          <w:rFonts w:hint="eastAsia" w:ascii="仿宋" w:hAnsi="仿宋" w:eastAsia="仿宋" w:cs="仿宋"/>
          <w:color w:val="0C0C0C"/>
          <w:spacing w:val="-6"/>
          <w:kern w:val="2"/>
          <w:sz w:val="32"/>
          <w:szCs w:val="32"/>
          <w:u w:val="none"/>
          <w:lang w:val="en-US" w:eastAsia="zh-CN" w:bidi="ar-SA"/>
        </w:rPr>
        <w:t>年，规模以上工业企业法人单位全年专利申请量</w:t>
      </w:r>
      <w:r>
        <w:rPr>
          <w:rFonts w:hint="eastAsia" w:ascii="仿宋" w:hAnsi="仿宋" w:eastAsia="仿宋" w:cs="仿宋"/>
          <w:color w:val="0C0C0C"/>
          <w:sz w:val="32"/>
          <w:szCs w:val="32"/>
          <w:u w:val="none"/>
          <w:lang w:val="en-US" w:eastAsia="zh-CN"/>
        </w:rPr>
        <w:t>59</w:t>
      </w:r>
      <w:r>
        <w:rPr>
          <w:rFonts w:hint="eastAsia" w:ascii="仿宋" w:hAnsi="仿宋" w:eastAsia="仿宋" w:cs="仿宋"/>
          <w:color w:val="0C0C0C"/>
          <w:spacing w:val="-6"/>
          <w:kern w:val="2"/>
          <w:sz w:val="32"/>
          <w:szCs w:val="32"/>
          <w:u w:val="none"/>
          <w:lang w:val="en-US" w:eastAsia="zh-CN" w:bidi="ar-SA"/>
        </w:rPr>
        <w:t>件，其中发明专利申请8件；发明专利申请所占比重为</w:t>
      </w:r>
      <w:r>
        <w:rPr>
          <w:rFonts w:hint="eastAsia" w:ascii="仿宋" w:hAnsi="仿宋" w:eastAsia="仿宋" w:cs="仿宋"/>
          <w:color w:val="0C0C0C"/>
          <w:sz w:val="32"/>
          <w:szCs w:val="32"/>
          <w:u w:val="none"/>
          <w:lang w:val="en-US" w:eastAsia="zh-CN"/>
        </w:rPr>
        <w:t>13.6</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firstLineChars="0"/>
        <w:jc w:val="center"/>
        <w:textAlignment w:val="auto"/>
        <w:rPr>
          <w:rFonts w:hint="eastAsia" w:asciiTheme="majorEastAsia" w:hAnsiTheme="majorEastAsia" w:eastAsiaTheme="majorEastAsia" w:cstheme="majorEastAsia"/>
          <w:b/>
          <w:i w:val="0"/>
          <w:caps w:val="0"/>
          <w:color w:val="0C0C0C"/>
          <w:spacing w:val="0"/>
          <w:kern w:val="0"/>
          <w:sz w:val="24"/>
          <w:szCs w:val="24"/>
          <w:highlight w:val="none"/>
          <w:lang w:val="en-US" w:eastAsia="zh-CN" w:bidi="ar"/>
        </w:rPr>
      </w:pPr>
      <w:r>
        <w:rPr>
          <w:rFonts w:hint="eastAsia" w:asciiTheme="majorEastAsia" w:hAnsiTheme="majorEastAsia" w:eastAsiaTheme="majorEastAsia" w:cstheme="majorEastAsia"/>
          <w:b/>
          <w:i w:val="0"/>
          <w:caps w:val="0"/>
          <w:color w:val="0C0C0C"/>
          <w:spacing w:val="0"/>
          <w:kern w:val="0"/>
          <w:sz w:val="24"/>
          <w:szCs w:val="24"/>
          <w:highlight w:val="none"/>
          <w:lang w:val="en-US" w:eastAsia="zh-CN" w:bidi="ar"/>
        </w:rPr>
        <w:t>表6-1　按行业大类分组的规模以上工业企业法人单位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firstLineChars="0"/>
        <w:jc w:val="center"/>
        <w:textAlignment w:val="auto"/>
        <w:rPr>
          <w:rFonts w:hint="eastAsia" w:asciiTheme="majorEastAsia" w:hAnsiTheme="majorEastAsia" w:eastAsiaTheme="majorEastAsia" w:cstheme="majorEastAsia"/>
          <w:b/>
          <w:i w:val="0"/>
          <w:caps w:val="0"/>
          <w:color w:val="0C0C0C"/>
          <w:spacing w:val="0"/>
          <w:kern w:val="0"/>
          <w:sz w:val="24"/>
          <w:szCs w:val="24"/>
          <w:highlight w:val="none"/>
          <w:lang w:val="en-US" w:eastAsia="zh-CN" w:bidi="ar"/>
        </w:rPr>
      </w:pPr>
      <w:r>
        <w:rPr>
          <w:rFonts w:hint="eastAsia" w:asciiTheme="majorEastAsia" w:hAnsiTheme="majorEastAsia" w:eastAsiaTheme="majorEastAsia" w:cstheme="majorEastAsia"/>
          <w:b/>
          <w:i w:val="0"/>
          <w:caps w:val="0"/>
          <w:color w:val="0C0C0C"/>
          <w:spacing w:val="0"/>
          <w:kern w:val="0"/>
          <w:sz w:val="24"/>
          <w:szCs w:val="24"/>
          <w:highlight w:val="none"/>
          <w:lang w:val="en-US" w:eastAsia="zh-CN" w:bidi="ar"/>
        </w:rPr>
        <w:t>R&amp;D经费支出及R&amp;D经费与营业收入之比</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895"/>
        <w:gridCol w:w="1676"/>
        <w:gridCol w:w="173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947"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42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00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R&amp;D经费支出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043"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R&amp;D经费与营业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收入之比（%）</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0" w:firstLineChars="0"/>
              <w:jc w:val="center"/>
              <w:textAlignment w:val="auto"/>
              <w:rPr>
                <w:rFonts w:hint="eastAsia" w:ascii="Times New Roman" w:hAnsi="Times New Roman" w:eastAsia="宋体" w:cs="宋体"/>
                <w:b/>
                <w:bCs w:val="0"/>
                <w:color w:val="0C0C0C"/>
                <w:sz w:val="21"/>
                <w:szCs w:val="21"/>
                <w:highlight w:val="none"/>
              </w:rPr>
            </w:pPr>
            <w:r>
              <w:rPr>
                <w:rFonts w:hint="eastAsia" w:ascii="Times New Roman" w:hAnsi="Times New Roman" w:eastAsia="宋体" w:cs="宋体"/>
                <w:b/>
                <w:bCs w:val="0"/>
                <w:color w:val="0C0C0C"/>
                <w:kern w:val="0"/>
                <w:sz w:val="21"/>
                <w:szCs w:val="21"/>
                <w:highlight w:val="none"/>
                <w:lang w:val="en-US" w:eastAsia="zh-CN" w:bidi="ar"/>
              </w:rPr>
              <w:t>合　计</w:t>
            </w:r>
          </w:p>
        </w:tc>
        <w:tc>
          <w:tcPr>
            <w:tcW w:w="1009" w:type="pct"/>
            <w:tcBorders>
              <w:top w:val="single" w:color="auto" w:sz="4" w:space="0"/>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9480.2</w:t>
            </w:r>
          </w:p>
        </w:tc>
        <w:tc>
          <w:tcPr>
            <w:tcW w:w="1043"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0.61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0" w:firstLineChars="0"/>
              <w:jc w:val="left"/>
              <w:textAlignment w:val="auto"/>
              <w:rPr>
                <w:rFonts w:hint="eastAsia" w:ascii="Times New Roman" w:hAnsi="Times New Roman" w:eastAsia="宋体" w:cs="宋体"/>
                <w:b/>
                <w:bCs w:val="0"/>
                <w:color w:val="0C0C0C"/>
                <w:sz w:val="21"/>
                <w:szCs w:val="21"/>
                <w:highlight w:val="none"/>
              </w:rPr>
            </w:pPr>
            <w:r>
              <w:rPr>
                <w:rFonts w:hint="eastAsia" w:ascii="Times New Roman" w:hAnsi="Times New Roman" w:eastAsia="宋体" w:cs="宋体"/>
                <w:b/>
                <w:bCs w:val="0"/>
                <w:color w:val="0C0C0C"/>
                <w:kern w:val="0"/>
                <w:sz w:val="21"/>
                <w:szCs w:val="21"/>
                <w:highlight w:val="none"/>
                <w:lang w:val="en-US" w:eastAsia="zh-CN" w:bidi="ar"/>
              </w:rPr>
              <w:t>采矿业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煤炭开采和洗选业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石油和天然气开采业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黑色金属矿采选业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有色金属矿采选业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非金属矿采选业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开采专业及辅助性活动</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其他采矿业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0" w:firstLineChars="0"/>
              <w:jc w:val="left"/>
              <w:textAlignment w:val="auto"/>
              <w:rPr>
                <w:rFonts w:hint="eastAsia" w:ascii="Times New Roman" w:hAnsi="Times New Roman" w:eastAsia="宋体" w:cs="宋体"/>
                <w:b/>
                <w:bCs w:val="0"/>
                <w:color w:val="0C0C0C"/>
                <w:sz w:val="21"/>
                <w:szCs w:val="21"/>
                <w:highlight w:val="none"/>
              </w:rPr>
            </w:pPr>
            <w:r>
              <w:rPr>
                <w:rFonts w:hint="eastAsia" w:ascii="Times New Roman" w:hAnsi="Times New Roman" w:eastAsia="宋体" w:cs="宋体"/>
                <w:b/>
                <w:bCs w:val="0"/>
                <w:color w:val="0C0C0C"/>
                <w:kern w:val="0"/>
                <w:sz w:val="21"/>
                <w:szCs w:val="21"/>
                <w:highlight w:val="none"/>
                <w:lang w:val="en-US" w:eastAsia="zh-CN" w:bidi="ar"/>
              </w:rPr>
              <w:t>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9107.7</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val="0"/>
                <w:color w:val="0C0C0C"/>
                <w:kern w:val="0"/>
                <w:sz w:val="21"/>
                <w:szCs w:val="21"/>
                <w:highlight w:val="none"/>
                <w:lang w:val="en-US" w:eastAsia="zh-CN" w:bidi="ar"/>
              </w:rPr>
            </w:pPr>
            <w:r>
              <w:rPr>
                <w:rFonts w:hint="eastAsia" w:ascii="Times New Roman" w:hAnsi="Times New Roman" w:eastAsia="宋体" w:cs="宋体"/>
                <w:b/>
                <w:bCs w:val="0"/>
                <w:color w:val="0C0C0C"/>
                <w:kern w:val="0"/>
                <w:sz w:val="21"/>
                <w:szCs w:val="21"/>
                <w:highlight w:val="none"/>
                <w:lang w:val="en-US" w:eastAsia="zh-CN" w:bidi="ar"/>
              </w:rPr>
              <w:t>0.86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农副食品加工业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7745.6</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0.81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食品制造业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酒、饮料和精制茶制造业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烟草制品业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纺织业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纺织服装、服饰业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皮革、毛皮、羽毛及其制品和制鞋业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木材加工和木、竹、藤、棕、草制品业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家具制造业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造纸和纸制品业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印刷和记录媒介复制业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文教、工美、体育和娱乐用品制造业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石油、煤炭及其他燃料加工业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化学原料和化学制品制造业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49.4</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0.57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医药制造业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化学纤维制造业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橡胶和塑料制品业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非金属矿物制品业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813.9</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1.21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黑色金属冶炼和压延加工业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有色金属冶炼和压延加工业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金属制品业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498.8</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2.61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通用设备制造业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专用设备制造业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汽车制造业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铁路、船舶、航空航天和其他运输设备制造业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电气机械和器材制造业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计算机、通信和其他电子设备制造业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1"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仪器仪表制造业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废弃资源综合利用业　</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金属制品、机械和设备修理业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电力、热力、燃气及水生产和供应业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372.5</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0.27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电力、热力生产和供应业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193.2</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0.15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燃气生产和供应业　</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c>
          <w:tcPr>
            <w:tcW w:w="1043"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水的生产和供应业　</w:t>
            </w:r>
          </w:p>
        </w:tc>
        <w:tc>
          <w:tcPr>
            <w:tcW w:w="1009" w:type="pct"/>
            <w:tcBorders>
              <w:top w:val="nil"/>
              <w:left w:val="single" w:color="auto" w:sz="4" w:space="0"/>
              <w:bottom w:val="single" w:color="auto" w:sz="12" w:space="0"/>
              <w:right w:val="single" w:color="auto" w:sz="4" w:space="0"/>
            </w:tcBorders>
            <w:noWrap w:val="0"/>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179.3</w:t>
            </w:r>
          </w:p>
        </w:tc>
        <w:tc>
          <w:tcPr>
            <w:tcW w:w="1043"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right"/>
              <w:textAlignment w:val="auto"/>
              <w:rPr>
                <w:rFonts w:hint="default"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2.99</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黑体" w:cs="黑体"/>
          <w:b w:val="0"/>
          <w:bCs/>
          <w:i w:val="0"/>
          <w:caps w:val="0"/>
          <w:color w:val="0C0C0C"/>
          <w:spacing w:val="0"/>
          <w:kern w:val="0"/>
          <w:sz w:val="32"/>
          <w:szCs w:val="32"/>
          <w:highlight w:val="none"/>
          <w:lang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五、文化及相关产业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2023年末，全市共有文化及相关产业法人单位</w:t>
      </w:r>
      <w:r>
        <w:rPr>
          <w:rFonts w:hint="eastAsia" w:ascii="仿宋" w:hAnsi="仿宋" w:eastAsia="仿宋" w:cs="仿宋"/>
          <w:color w:val="0C0C0C"/>
          <w:sz w:val="32"/>
          <w:szCs w:val="32"/>
          <w:u w:val="none"/>
          <w:lang w:val="en-US" w:eastAsia="zh-CN"/>
        </w:rPr>
        <w:t>333</w:t>
      </w:r>
      <w:r>
        <w:rPr>
          <w:rFonts w:hint="eastAsia" w:ascii="仿宋" w:hAnsi="仿宋" w:eastAsia="仿宋" w:cs="仿宋"/>
          <w:color w:val="0C0C0C"/>
          <w:spacing w:val="-6"/>
          <w:kern w:val="2"/>
          <w:sz w:val="32"/>
          <w:szCs w:val="32"/>
          <w:u w:val="none"/>
          <w:lang w:val="en-US" w:eastAsia="zh-CN" w:bidi="ar-SA"/>
        </w:rPr>
        <w:t>个，从业人员</w:t>
      </w:r>
      <w:r>
        <w:rPr>
          <w:rFonts w:hint="eastAsia" w:ascii="仿宋" w:hAnsi="仿宋" w:eastAsia="仿宋" w:cs="仿宋"/>
          <w:color w:val="0C0C0C"/>
          <w:sz w:val="32"/>
          <w:szCs w:val="32"/>
          <w:u w:val="none"/>
          <w:lang w:val="en-US" w:eastAsia="zh-CN"/>
        </w:rPr>
        <w:t>1744</w:t>
      </w:r>
      <w:r>
        <w:rPr>
          <w:rFonts w:hint="eastAsia" w:ascii="仿宋" w:hAnsi="仿宋" w:eastAsia="仿宋" w:cs="仿宋"/>
          <w:color w:val="0C0C0C"/>
          <w:spacing w:val="-6"/>
          <w:kern w:val="2"/>
          <w:sz w:val="32"/>
          <w:szCs w:val="32"/>
          <w:u w:val="none"/>
          <w:lang w:val="en-US" w:eastAsia="zh-CN" w:bidi="ar-SA"/>
        </w:rPr>
        <w:t>人，分别比2018年末增长</w:t>
      </w:r>
      <w:r>
        <w:rPr>
          <w:rFonts w:hint="eastAsia" w:ascii="仿宋" w:hAnsi="仿宋" w:eastAsia="仿宋" w:cs="仿宋"/>
          <w:color w:val="0C0C0C"/>
          <w:sz w:val="32"/>
          <w:szCs w:val="32"/>
          <w:u w:val="none"/>
          <w:lang w:val="en-US" w:eastAsia="zh-CN"/>
        </w:rPr>
        <w:t>205.5</w:t>
      </w:r>
      <w:r>
        <w:rPr>
          <w:rFonts w:hint="eastAsia" w:ascii="仿宋" w:hAnsi="仿宋" w:eastAsia="仿宋" w:cs="仿宋"/>
          <w:color w:val="0C0C0C"/>
          <w:spacing w:val="-6"/>
          <w:kern w:val="2"/>
          <w:sz w:val="32"/>
          <w:szCs w:val="32"/>
          <w:u w:val="none"/>
          <w:lang w:val="en-US" w:eastAsia="zh-CN" w:bidi="ar-SA"/>
        </w:rPr>
        <w:t>%和</w:t>
      </w:r>
      <w:r>
        <w:rPr>
          <w:rFonts w:hint="eastAsia" w:ascii="仿宋" w:hAnsi="仿宋" w:eastAsia="仿宋" w:cs="仿宋"/>
          <w:color w:val="0C0C0C"/>
          <w:sz w:val="32"/>
          <w:szCs w:val="32"/>
          <w:u w:val="none"/>
          <w:lang w:val="en-US" w:eastAsia="zh-CN"/>
        </w:rPr>
        <w:t>88.9</w:t>
      </w:r>
      <w:r>
        <w:rPr>
          <w:rFonts w:hint="eastAsia" w:ascii="仿宋" w:hAnsi="仿宋" w:eastAsia="仿宋" w:cs="仿宋"/>
          <w:color w:val="0C0C0C"/>
          <w:spacing w:val="-6"/>
          <w:kern w:val="2"/>
          <w:sz w:val="32"/>
          <w:szCs w:val="32"/>
          <w:u w:val="none"/>
          <w:lang w:val="en-US" w:eastAsia="zh-CN" w:bidi="ar-SA"/>
        </w:rPr>
        <w:t>%；资产总计2.77</w:t>
      </w:r>
      <w:r>
        <w:rPr>
          <w:rFonts w:hint="eastAsia" w:ascii="仿宋" w:hAnsi="仿宋" w:eastAsia="仿宋" w:cs="仿宋"/>
          <w:color w:val="0C0C0C"/>
          <w:sz w:val="32"/>
          <w:szCs w:val="32"/>
          <w:u w:val="none"/>
          <w:lang w:val="en-US" w:eastAsia="zh-CN"/>
        </w:rPr>
        <w:t>亿</w:t>
      </w:r>
      <w:r>
        <w:rPr>
          <w:rFonts w:hint="eastAsia" w:ascii="仿宋" w:hAnsi="仿宋" w:eastAsia="仿宋" w:cs="仿宋"/>
          <w:color w:val="0C0C0C"/>
          <w:spacing w:val="-6"/>
          <w:kern w:val="2"/>
          <w:sz w:val="32"/>
          <w:szCs w:val="32"/>
          <w:u w:val="none"/>
          <w:lang w:val="en-US" w:eastAsia="zh-CN" w:bidi="ar-SA"/>
        </w:rPr>
        <w:t>元，比2018年末下降27.1%。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2023年末，全市共有经营性文化产业法人单位</w:t>
      </w:r>
      <w:r>
        <w:rPr>
          <w:rFonts w:hint="eastAsia" w:ascii="仿宋" w:hAnsi="仿宋" w:eastAsia="仿宋" w:cs="仿宋"/>
          <w:color w:val="0C0C0C"/>
          <w:sz w:val="32"/>
          <w:szCs w:val="32"/>
          <w:u w:val="none"/>
          <w:lang w:val="en-US" w:eastAsia="zh-CN"/>
        </w:rPr>
        <w:t>299</w:t>
      </w:r>
      <w:r>
        <w:rPr>
          <w:rFonts w:hint="eastAsia" w:ascii="仿宋" w:hAnsi="仿宋" w:eastAsia="仿宋" w:cs="仿宋"/>
          <w:color w:val="0C0C0C"/>
          <w:spacing w:val="-6"/>
          <w:kern w:val="2"/>
          <w:sz w:val="32"/>
          <w:szCs w:val="32"/>
          <w:u w:val="none"/>
          <w:lang w:val="en-US" w:eastAsia="zh-CN" w:bidi="ar-SA"/>
        </w:rPr>
        <w:t>个，从业人员</w:t>
      </w:r>
      <w:r>
        <w:rPr>
          <w:rFonts w:hint="eastAsia" w:ascii="仿宋" w:hAnsi="仿宋" w:eastAsia="仿宋" w:cs="仿宋"/>
          <w:color w:val="0C0C0C"/>
          <w:sz w:val="32"/>
          <w:szCs w:val="32"/>
          <w:u w:val="none"/>
          <w:lang w:val="en-US" w:eastAsia="zh-CN"/>
        </w:rPr>
        <w:t>1507</w:t>
      </w:r>
      <w:r>
        <w:rPr>
          <w:rFonts w:hint="eastAsia" w:ascii="仿宋" w:hAnsi="仿宋" w:eastAsia="仿宋" w:cs="仿宋"/>
          <w:color w:val="0C0C0C"/>
          <w:spacing w:val="-6"/>
          <w:kern w:val="2"/>
          <w:sz w:val="32"/>
          <w:szCs w:val="32"/>
          <w:u w:val="none"/>
          <w:lang w:val="en-US" w:eastAsia="zh-CN" w:bidi="ar-SA"/>
        </w:rPr>
        <w:t>人，分别比2018年末增长</w:t>
      </w:r>
      <w:r>
        <w:rPr>
          <w:rFonts w:hint="eastAsia" w:ascii="仿宋" w:hAnsi="仿宋" w:eastAsia="仿宋" w:cs="仿宋"/>
          <w:color w:val="0C0C0C"/>
          <w:sz w:val="32"/>
          <w:szCs w:val="32"/>
          <w:u w:val="none"/>
          <w:lang w:val="en-US" w:eastAsia="zh-CN"/>
        </w:rPr>
        <w:t>184.8</w:t>
      </w:r>
      <w:r>
        <w:rPr>
          <w:rFonts w:hint="eastAsia" w:ascii="仿宋" w:hAnsi="仿宋" w:eastAsia="仿宋" w:cs="仿宋"/>
          <w:color w:val="0C0C0C"/>
          <w:spacing w:val="-6"/>
          <w:kern w:val="2"/>
          <w:sz w:val="32"/>
          <w:szCs w:val="32"/>
          <w:u w:val="none"/>
          <w:lang w:val="en-US" w:eastAsia="zh-CN" w:bidi="ar-SA"/>
        </w:rPr>
        <w:t>%和</w:t>
      </w:r>
      <w:r>
        <w:rPr>
          <w:rFonts w:hint="eastAsia" w:ascii="仿宋" w:hAnsi="仿宋" w:eastAsia="仿宋" w:cs="仿宋"/>
          <w:color w:val="0C0C0C"/>
          <w:sz w:val="32"/>
          <w:szCs w:val="32"/>
          <w:u w:val="none"/>
          <w:lang w:val="en-US" w:eastAsia="zh-CN"/>
        </w:rPr>
        <w:t>86.3</w:t>
      </w:r>
      <w:r>
        <w:rPr>
          <w:rFonts w:hint="eastAsia" w:ascii="仿宋" w:hAnsi="仿宋" w:eastAsia="仿宋" w:cs="仿宋"/>
          <w:color w:val="0C0C0C"/>
          <w:spacing w:val="-6"/>
          <w:kern w:val="2"/>
          <w:sz w:val="32"/>
          <w:szCs w:val="32"/>
          <w:u w:val="none"/>
          <w:lang w:val="en-US" w:eastAsia="zh-CN" w:bidi="ar-SA"/>
        </w:rPr>
        <w:t>%；资产总计</w:t>
      </w:r>
      <w:r>
        <w:rPr>
          <w:rFonts w:hint="eastAsia" w:ascii="仿宋" w:hAnsi="仿宋" w:eastAsia="仿宋" w:cs="仿宋"/>
          <w:color w:val="0C0C0C"/>
          <w:sz w:val="32"/>
          <w:szCs w:val="32"/>
          <w:u w:val="none"/>
          <w:lang w:val="en-US" w:eastAsia="zh-CN"/>
        </w:rPr>
        <w:t>1.77</w:t>
      </w:r>
      <w:r>
        <w:rPr>
          <w:rFonts w:hint="eastAsia" w:ascii="仿宋" w:hAnsi="仿宋" w:eastAsia="仿宋" w:cs="仿宋"/>
          <w:color w:val="0C0C0C"/>
          <w:spacing w:val="-6"/>
          <w:kern w:val="2"/>
          <w:sz w:val="32"/>
          <w:szCs w:val="32"/>
          <w:u w:val="none"/>
          <w:lang w:val="en-US" w:eastAsia="zh-CN" w:bidi="ar-SA"/>
        </w:rPr>
        <w:t>亿元，比2018年末下降42.3%；全年实现营业收入</w:t>
      </w:r>
      <w:r>
        <w:rPr>
          <w:rFonts w:hint="eastAsia" w:ascii="仿宋" w:hAnsi="仿宋" w:eastAsia="仿宋" w:cs="仿宋"/>
          <w:color w:val="0C0C0C"/>
          <w:sz w:val="32"/>
          <w:szCs w:val="32"/>
          <w:u w:val="none"/>
          <w:lang w:val="en-US" w:eastAsia="zh-CN"/>
        </w:rPr>
        <w:t>1.61</w:t>
      </w:r>
      <w:r>
        <w:rPr>
          <w:rFonts w:hint="eastAsia" w:ascii="仿宋" w:hAnsi="仿宋" w:eastAsia="仿宋" w:cs="仿宋"/>
          <w:color w:val="0C0C0C"/>
          <w:spacing w:val="-6"/>
          <w:kern w:val="2"/>
          <w:sz w:val="32"/>
          <w:szCs w:val="32"/>
          <w:u w:val="none"/>
          <w:lang w:val="en-US" w:eastAsia="zh-CN" w:bidi="ar-SA"/>
        </w:rPr>
        <w:t>亿元，比2018年增长</w:t>
      </w:r>
      <w:r>
        <w:rPr>
          <w:rFonts w:hint="eastAsia" w:ascii="仿宋" w:hAnsi="仿宋" w:eastAsia="仿宋" w:cs="仿宋"/>
          <w:color w:val="0C0C0C"/>
          <w:sz w:val="32"/>
          <w:szCs w:val="32"/>
          <w:u w:val="none"/>
          <w:lang w:val="en-US" w:eastAsia="zh-CN"/>
        </w:rPr>
        <w:t>43.8</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仿宋" w:hAnsi="仿宋" w:eastAsia="仿宋" w:cs="仿宋"/>
          <w:color w:val="0C0C0C"/>
          <w:spacing w:val="-6"/>
          <w:kern w:val="2"/>
          <w:sz w:val="32"/>
          <w:szCs w:val="32"/>
          <w:u w:val="none"/>
          <w:lang w:val="en-US" w:eastAsia="zh-CN" w:bidi="ar-SA"/>
        </w:rPr>
      </w:pPr>
      <w:r>
        <w:rPr>
          <w:rFonts w:hint="eastAsia" w:ascii="仿宋" w:hAnsi="仿宋" w:eastAsia="仿宋" w:cs="仿宋"/>
          <w:color w:val="0C0C0C"/>
          <w:spacing w:val="-6"/>
          <w:kern w:val="2"/>
          <w:sz w:val="32"/>
          <w:szCs w:val="32"/>
          <w:u w:val="none"/>
          <w:lang w:val="en-US" w:eastAsia="zh-CN" w:bidi="ar-SA"/>
        </w:rPr>
        <w:t>2023年末，全市共有公益性文化事业（含社团）法人单位</w:t>
      </w:r>
      <w:r>
        <w:rPr>
          <w:rFonts w:hint="eastAsia" w:ascii="仿宋" w:hAnsi="仿宋" w:eastAsia="仿宋" w:cs="仿宋"/>
          <w:color w:val="0C0C0C"/>
          <w:sz w:val="32"/>
          <w:szCs w:val="32"/>
          <w:u w:val="none"/>
          <w:lang w:val="en-US" w:eastAsia="zh-CN"/>
        </w:rPr>
        <w:t>34</w:t>
      </w:r>
      <w:r>
        <w:rPr>
          <w:rFonts w:hint="eastAsia" w:ascii="仿宋" w:hAnsi="仿宋" w:eastAsia="仿宋" w:cs="仿宋"/>
          <w:color w:val="0C0C0C"/>
          <w:spacing w:val="-6"/>
          <w:kern w:val="2"/>
          <w:sz w:val="32"/>
          <w:szCs w:val="32"/>
          <w:u w:val="none"/>
          <w:lang w:val="en-US" w:eastAsia="zh-CN" w:bidi="ar-SA"/>
        </w:rPr>
        <w:t>个，从业人员</w:t>
      </w:r>
      <w:r>
        <w:rPr>
          <w:rFonts w:hint="eastAsia" w:ascii="仿宋" w:hAnsi="仿宋" w:eastAsia="仿宋" w:cs="仿宋"/>
          <w:color w:val="0C0C0C"/>
          <w:sz w:val="32"/>
          <w:szCs w:val="32"/>
          <w:u w:val="none"/>
          <w:lang w:val="en-US" w:eastAsia="zh-CN"/>
        </w:rPr>
        <w:t>237</w:t>
      </w:r>
      <w:r>
        <w:rPr>
          <w:rFonts w:hint="eastAsia" w:ascii="仿宋" w:hAnsi="仿宋" w:eastAsia="仿宋" w:cs="仿宋"/>
          <w:color w:val="0C0C0C"/>
          <w:spacing w:val="-6"/>
          <w:kern w:val="2"/>
          <w:sz w:val="32"/>
          <w:szCs w:val="32"/>
          <w:u w:val="none"/>
          <w:lang w:val="en-US" w:eastAsia="zh-CN" w:bidi="ar-SA"/>
        </w:rPr>
        <w:t>人，分别比2018年末增长</w:t>
      </w:r>
      <w:r>
        <w:rPr>
          <w:rFonts w:hint="eastAsia" w:ascii="仿宋" w:hAnsi="仿宋" w:eastAsia="仿宋" w:cs="仿宋"/>
          <w:color w:val="0C0C0C"/>
          <w:sz w:val="32"/>
          <w:szCs w:val="32"/>
          <w:u w:val="none"/>
          <w:lang w:val="en-US" w:eastAsia="zh-CN"/>
        </w:rPr>
        <w:t>750</w:t>
      </w:r>
      <w:r>
        <w:rPr>
          <w:rFonts w:hint="eastAsia" w:ascii="仿宋" w:hAnsi="仿宋" w:eastAsia="仿宋" w:cs="仿宋"/>
          <w:color w:val="0C0C0C"/>
          <w:spacing w:val="-6"/>
          <w:kern w:val="2"/>
          <w:sz w:val="32"/>
          <w:szCs w:val="32"/>
          <w:u w:val="none"/>
          <w:lang w:val="en-US" w:eastAsia="zh-CN" w:bidi="ar-SA"/>
        </w:rPr>
        <w:t>%和</w:t>
      </w:r>
      <w:r>
        <w:rPr>
          <w:rFonts w:hint="eastAsia" w:ascii="仿宋" w:hAnsi="仿宋" w:eastAsia="仿宋" w:cs="仿宋"/>
          <w:color w:val="0C0C0C"/>
          <w:sz w:val="32"/>
          <w:szCs w:val="32"/>
          <w:u w:val="none"/>
          <w:lang w:val="en-US" w:eastAsia="zh-CN"/>
        </w:rPr>
        <w:t>107.9</w:t>
      </w:r>
      <w:r>
        <w:rPr>
          <w:rFonts w:hint="eastAsia" w:ascii="仿宋" w:hAnsi="仿宋" w:eastAsia="仿宋" w:cs="仿宋"/>
          <w:color w:val="0C0C0C"/>
          <w:spacing w:val="-6"/>
          <w:kern w:val="2"/>
          <w:sz w:val="32"/>
          <w:szCs w:val="32"/>
          <w:u w:val="none"/>
          <w:lang w:val="en-US" w:eastAsia="zh-CN" w:bidi="ar-SA"/>
        </w:rPr>
        <w:t>%；资产总计</w:t>
      </w:r>
      <w:r>
        <w:rPr>
          <w:rFonts w:hint="eastAsia" w:ascii="仿宋" w:hAnsi="仿宋" w:eastAsia="仿宋" w:cs="仿宋"/>
          <w:color w:val="0C0C0C"/>
          <w:sz w:val="32"/>
          <w:szCs w:val="32"/>
          <w:u w:val="none"/>
          <w:lang w:val="en-US" w:eastAsia="zh-CN"/>
        </w:rPr>
        <w:t>1</w:t>
      </w:r>
      <w:r>
        <w:rPr>
          <w:rFonts w:hint="eastAsia" w:ascii="仿宋" w:hAnsi="仿宋" w:eastAsia="仿宋" w:cs="仿宋"/>
          <w:color w:val="0C0C0C"/>
          <w:spacing w:val="-6"/>
          <w:kern w:val="2"/>
          <w:sz w:val="32"/>
          <w:szCs w:val="32"/>
          <w:u w:val="none"/>
          <w:lang w:val="en-US" w:eastAsia="zh-CN" w:bidi="ar-SA"/>
        </w:rPr>
        <w:t>亿元，比2018年末</w:t>
      </w:r>
      <w:r>
        <w:rPr>
          <w:rFonts w:hint="eastAsia" w:ascii="仿宋" w:hAnsi="仿宋" w:eastAsia="仿宋" w:cs="仿宋"/>
          <w:color w:val="0C0C0C"/>
          <w:sz w:val="32"/>
          <w:szCs w:val="32"/>
          <w:u w:val="none"/>
          <w:lang w:val="en-US" w:eastAsia="zh-CN"/>
        </w:rPr>
        <w:t>增长35.1</w:t>
      </w:r>
      <w:r>
        <w:rPr>
          <w:rFonts w:hint="eastAsia" w:ascii="仿宋" w:hAnsi="仿宋" w:eastAsia="仿宋" w:cs="仿宋"/>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0C0C0C"/>
          <w:spacing w:val="0"/>
          <w:sz w:val="32"/>
          <w:szCs w:val="32"/>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b/>
          <w:i w:val="0"/>
          <w:caps w:val="0"/>
          <w:color w:val="0C0C0C"/>
          <w:spacing w:val="0"/>
          <w:kern w:val="0"/>
          <w:sz w:val="32"/>
          <w:szCs w:val="32"/>
          <w:highlight w:val="none"/>
          <w:lang w:val="en-US" w:eastAsia="zh-CN" w:bidi="ar"/>
        </w:rPr>
      </w:pPr>
      <w:r>
        <w:rPr>
          <w:rFonts w:hint="eastAsia" w:ascii="仿宋" w:hAnsi="仿宋" w:eastAsia="仿宋" w:cs="仿宋"/>
          <w:b/>
          <w:i w:val="0"/>
          <w:caps w:val="0"/>
          <w:color w:val="0C0C0C"/>
          <w:spacing w:val="0"/>
          <w:kern w:val="0"/>
          <w:sz w:val="32"/>
          <w:szCs w:val="32"/>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pacing w:line="600" w:lineRule="exact"/>
        <w:rPr>
          <w:rFonts w:hint="eastAsia" w:ascii="仿宋" w:hAnsi="仿宋" w:eastAsia="仿宋" w:cs="仿宋"/>
          <w:i w:val="0"/>
          <w:caps w:val="0"/>
          <w:color w:val="0C0C0C"/>
          <w:spacing w:val="0"/>
          <w:sz w:val="32"/>
          <w:szCs w:val="32"/>
          <w:highlight w:val="none"/>
        </w:rPr>
      </w:pPr>
      <w:r>
        <w:rPr>
          <w:rFonts w:hint="eastAsia" w:ascii="仿宋" w:hAnsi="仿宋" w:eastAsia="仿宋" w:cs="仿宋"/>
          <w:b/>
          <w:i w:val="0"/>
          <w:caps w:val="0"/>
          <w:color w:val="0C0C0C"/>
          <w:spacing w:val="0"/>
          <w:kern w:val="0"/>
          <w:sz w:val="32"/>
          <w:szCs w:val="32"/>
          <w:highlight w:val="none"/>
          <w:lang w:val="en-US" w:eastAsia="zh-CN" w:bidi="ar"/>
        </w:rPr>
        <w:br w:type="page"/>
      </w:r>
      <w:r>
        <w:rPr>
          <w:rFonts w:hint="eastAsia" w:ascii="仿宋" w:hAnsi="仿宋" w:eastAsia="仿宋" w:cs="仿宋"/>
          <w:b w:val="0"/>
          <w:bCs/>
          <w:i w:val="0"/>
          <w:caps w:val="0"/>
          <w:color w:val="0C0C0C"/>
          <w:spacing w:val="0"/>
          <w:kern w:val="0"/>
          <w:sz w:val="32"/>
          <w:szCs w:val="32"/>
          <w:highlight w:val="none"/>
          <w:lang w:val="en-US" w:eastAsia="zh-CN" w:bidi="ar"/>
        </w:rPr>
        <w:t>注释：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0C0C0C"/>
          <w:spacing w:val="0"/>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[1]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0C0C0C"/>
          <w:spacing w:val="0"/>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[2]规模以上工业：是指年主营业务收入2000万元及以上的工业法人单位。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0C0C0C"/>
          <w:spacing w:val="0"/>
          <w:kern w:val="0"/>
          <w:sz w:val="32"/>
          <w:szCs w:val="32"/>
          <w:highlight w:val="none"/>
          <w:lang w:val="en-US" w:eastAsia="zh-CN" w:bidi="ar"/>
        </w:rPr>
      </w:pPr>
      <w:r>
        <w:rPr>
          <w:rFonts w:hint="eastAsia" w:ascii="仿宋" w:hAnsi="仿宋" w:eastAsia="仿宋" w:cs="仿宋"/>
          <w:i w:val="0"/>
          <w:caps w:val="0"/>
          <w:color w:val="0C0C0C"/>
          <w:spacing w:val="0"/>
          <w:kern w:val="0"/>
          <w:sz w:val="32"/>
          <w:szCs w:val="32"/>
          <w:highlight w:val="none"/>
          <w:lang w:val="en-US" w:eastAsia="zh-CN" w:bidi="ar"/>
        </w:rPr>
        <w:t>[3]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0C0C0C"/>
          <w:spacing w:val="0"/>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[4]规模以上服务业：是指年营业收入2000万元及以上服务业法人单位，包括交通运输、仓储和邮政业，信息传输、软件和信息技术服务业，水利、环境和公共设施管理业3个行业门类和卫生行业大类；年营业收入1000万元及以上服务业法人单位，包括租赁和商务服务业，科学研究和技术服务业，教育3个行业门类，以及物业管理、房地产中介服务、房地产租赁经营和其他房地产业4个行业小类；年营业收入500万元及以上服务业法人单位，包括居民服务、修理和其他服务业，文化、体育和娱乐业2个行业门类，以及社会工作行业大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color w:val="0C0C0C"/>
          <w:kern w:val="0"/>
          <w:sz w:val="32"/>
          <w:szCs w:val="32"/>
          <w:highlight w:val="none"/>
          <w:lang w:bidi="ar"/>
        </w:rPr>
      </w:pPr>
      <w:r>
        <w:rPr>
          <w:rFonts w:hint="eastAsia" w:ascii="仿宋" w:hAnsi="仿宋" w:eastAsia="仿宋" w:cs="仿宋"/>
          <w:i w:val="0"/>
          <w:caps w:val="0"/>
          <w:color w:val="0C0C0C"/>
          <w:spacing w:val="0"/>
          <w:kern w:val="0"/>
          <w:sz w:val="32"/>
          <w:szCs w:val="32"/>
          <w:highlight w:val="none"/>
          <w:lang w:val="en-US" w:eastAsia="zh-CN" w:bidi="ar"/>
        </w:rPr>
        <w:t>[5]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r>
        <w:rPr>
          <w:rFonts w:hint="eastAsia" w:ascii="仿宋" w:hAnsi="仿宋" w:eastAsia="仿宋" w:cs="仿宋"/>
          <w:color w:val="0C0C0C"/>
          <w:kern w:val="0"/>
          <w:sz w:val="32"/>
          <w:szCs w:val="32"/>
          <w:highlight w:val="none"/>
          <w:lang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color w:val="0C0C0C"/>
          <w:kern w:val="0"/>
          <w:sz w:val="32"/>
          <w:szCs w:val="32"/>
          <w:highlight w:val="none"/>
          <w:lang w:eastAsia="zh-CN" w:bidi="ar"/>
        </w:rPr>
      </w:pPr>
      <w:r>
        <w:rPr>
          <w:rFonts w:hint="eastAsia" w:ascii="仿宋" w:hAnsi="仿宋" w:eastAsia="仿宋" w:cs="仿宋"/>
          <w:i w:val="0"/>
          <w:caps w:val="0"/>
          <w:color w:val="0C0C0C"/>
          <w:spacing w:val="0"/>
          <w:kern w:val="0"/>
          <w:sz w:val="32"/>
          <w:szCs w:val="32"/>
          <w:highlight w:val="none"/>
          <w:lang w:val="en-US" w:eastAsia="zh-CN" w:bidi="ar"/>
        </w:rPr>
        <w:t>[6]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r>
        <w:rPr>
          <w:rFonts w:hint="eastAsia" w:ascii="仿宋" w:hAnsi="仿宋" w:eastAsia="仿宋" w:cs="仿宋"/>
          <w:color w:val="0C0C0C"/>
          <w:kern w:val="0"/>
          <w:sz w:val="32"/>
          <w:szCs w:val="32"/>
          <w:highlight w:val="none"/>
          <w:lang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caps w:val="0"/>
          <w:color w:val="0C0C0C"/>
          <w:spacing w:val="0"/>
          <w:kern w:val="0"/>
          <w:sz w:val="32"/>
          <w:szCs w:val="32"/>
          <w:highlight w:val="none"/>
          <w:lang w:val="en-US" w:eastAsia="zh-CN" w:bidi="ar"/>
        </w:rPr>
      </w:pPr>
      <w:r>
        <w:rPr>
          <w:rFonts w:hint="eastAsia" w:ascii="仿宋" w:hAnsi="仿宋" w:eastAsia="仿宋" w:cs="仿宋"/>
          <w:i w:val="0"/>
          <w:caps w:val="0"/>
          <w:color w:val="0C0C0C"/>
          <w:spacing w:val="0"/>
          <w:kern w:val="0"/>
          <w:sz w:val="32"/>
          <w:szCs w:val="32"/>
          <w:highlight w:val="none"/>
          <w:lang w:val="en-US" w:eastAsia="zh-CN" w:bidi="ar"/>
        </w:rPr>
        <w:t>[7]研究与试验发展：是指为增加知识存量（也包括有关人类、文化和社会的知识）以及设计已有知识的新应用而进行的创造性、系统性工作，包括基础研究、应用研究和试验发展3种类型。</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s="仿宋"/>
          <w:i w:val="0"/>
          <w:caps w:val="0"/>
          <w:color w:val="0C0C0C"/>
          <w:spacing w:val="0"/>
          <w:sz w:val="32"/>
          <w:szCs w:val="32"/>
          <w:highlight w:val="none"/>
        </w:rPr>
      </w:pPr>
      <w:r>
        <w:rPr>
          <w:rFonts w:hint="eastAsia" w:ascii="仿宋" w:hAnsi="仿宋" w:eastAsia="仿宋" w:cs="仿宋"/>
          <w:i w:val="0"/>
          <w:caps w:val="0"/>
          <w:color w:val="0C0C0C"/>
          <w:spacing w:val="0"/>
          <w:kern w:val="0"/>
          <w:sz w:val="32"/>
          <w:szCs w:val="32"/>
          <w:highlight w:val="none"/>
          <w:lang w:val="en-US" w:eastAsia="zh-CN" w:bidi="ar"/>
        </w:rPr>
        <w:t>[8]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0C0C0C"/>
          <w:spacing w:val="0"/>
          <w:kern w:val="0"/>
          <w:sz w:val="32"/>
          <w:szCs w:val="32"/>
          <w:highlight w:val="none"/>
          <w:lang w:val="en-US" w:eastAsia="zh-CN" w:bidi="ar"/>
        </w:rPr>
      </w:pPr>
      <w:r>
        <w:rPr>
          <w:rFonts w:hint="eastAsia" w:ascii="仿宋" w:hAnsi="仿宋" w:eastAsia="仿宋" w:cs="仿宋"/>
          <w:i w:val="0"/>
          <w:caps w:val="0"/>
          <w:color w:val="0C0C0C"/>
          <w:spacing w:val="0"/>
          <w:kern w:val="0"/>
          <w:sz w:val="32"/>
          <w:szCs w:val="32"/>
          <w:highlight w:val="none"/>
          <w:lang w:val="en-US" w:eastAsia="zh-CN" w:bidi="ar"/>
        </w:rPr>
        <w:t>[9]表中的合计数和部分计算数据因小数取舍而产生的误差，均未作机械调整。为保证数据精确度，个别数据保留2位小数。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90756"/>
    <w:rsid w:val="0CD6130D"/>
    <w:rsid w:val="0FEE1100"/>
    <w:rsid w:val="12387E69"/>
    <w:rsid w:val="150D1F01"/>
    <w:rsid w:val="15C90756"/>
    <w:rsid w:val="1D7A6C42"/>
    <w:rsid w:val="27155A94"/>
    <w:rsid w:val="416E01FD"/>
    <w:rsid w:val="4C4C2EDF"/>
    <w:rsid w:val="5B58111B"/>
    <w:rsid w:val="6ABF02A7"/>
    <w:rsid w:val="728366D1"/>
    <w:rsid w:val="77FF6FFA"/>
    <w:rsid w:val="87E821B3"/>
    <w:rsid w:val="D3FFD4BF"/>
    <w:rsid w:val="FFB9E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footnote text"/>
    <w:basedOn w:val="1"/>
    <w:unhideWhenUsed/>
    <w:qFormat/>
    <w:uiPriority w:val="99"/>
    <w:pPr>
      <w:snapToGrid w:val="0"/>
      <w:jc w:val="left"/>
    </w:pPr>
    <w:rPr>
      <w:sz w:val="18"/>
    </w:rPr>
  </w:style>
  <w:style w:type="paragraph" w:styleId="5">
    <w:name w:val="Body Text First Indent 2"/>
    <w:basedOn w:val="3"/>
    <w:next w:val="1"/>
    <w:qFormat/>
    <w:uiPriority w:val="0"/>
    <w:pPr>
      <w:ind w:firstLine="420" w:firstLineChars="200"/>
    </w:pPr>
  </w:style>
  <w:style w:type="character" w:styleId="8">
    <w:name w:val="footnote reference"/>
    <w:basedOn w:val="7"/>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710</Words>
  <Characters>810</Characters>
  <Lines>0</Lines>
  <Paragraphs>0</Paragraphs>
  <TotalTime>0</TotalTime>
  <ScaleCrop>false</ScaleCrop>
  <LinksUpToDate>false</LinksUpToDate>
  <CharactersWithSpaces>817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2025-06-03T07:56:00Z</dcterms:created>
  <dc:creator>不忘初心</dc:creator>
  <cp:lastModifiedBy>市统计局收发员</cp:lastModifiedBy>
  <dcterms:modified xsi:type="dcterms:W3CDTF">2025-07-24T03:24:18Z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4507FED3D5FA47EF93B646821139256E_11</vt:lpwstr>
  </property>
  <property fmtid="{D5CDD505-2E9C-101B-9397-08002B2CF9AE}" pid="4" name="KSOTemplateDocerSaveRecord">
    <vt:lpwstr>eyJoZGlkIjoiN2I1M2VhZjk5MzU1YTA2YmI1ZmQ4YmJlMGY5NzQ2NjYiLCJ1c2VySWQiOiIyNjkyMTIzMDYifQ==</vt:lpwstr>
  </property>
</Properties>
</file>