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eastAsia="方正小标宋_GBK" w:cs="Times New Roman"/>
          <w:bCs/>
          <w:color w:val="0C0C0C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eastAsia="方正小标宋_GBK" w:cs="Times New Roman"/>
          <w:bCs/>
          <w:color w:val="0C0C0C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万宁市第五次全国经济普查公报（第三号）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eastAsia="方正小标宋_GBK" w:cs="Times New Roman"/>
          <w:bCs/>
          <w:color w:val="0C0C0C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——第二产业基本情况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  <w:t>万宁市统计局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  <w:t>万宁市第五次全国经济普查领导小组办公室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firstLine="0" w:firstLineChars="0"/>
        <w:jc w:val="center"/>
        <w:textAlignment w:val="auto"/>
        <w:rPr>
          <w:rFonts w:hint="default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  <w:t>5</w:t>
      </w:r>
      <w:bookmarkStart w:id="0" w:name="_GoBack"/>
      <w:bookmarkEnd w:id="0"/>
      <w:r>
        <w:rPr>
          <w:rFonts w:hint="default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  <w:t>30</w:t>
      </w:r>
      <w:r>
        <w:rPr>
          <w:rFonts w:hint="default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  <w:t>日</w:t>
      </w:r>
      <w:r>
        <w:rPr>
          <w:rFonts w:hint="eastAsia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left="0" w:leftChars="0" w:firstLine="0" w:firstLineChars="0"/>
        <w:jc w:val="both"/>
        <w:textAlignment w:val="center"/>
        <w:rPr>
          <w:rFonts w:hint="eastAsia" w:ascii="Times New Roman" w:hAnsi="Times New Roman" w:eastAsia="方正仿宋_GBK" w:cs="方正仿宋_GBK"/>
          <w:color w:val="0C0C0C"/>
          <w:kern w:val="2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0C0C0C"/>
          <w:kern w:val="2"/>
          <w:sz w:val="32"/>
          <w:szCs w:val="32"/>
          <w:u w:val="non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 xml:space="preserve"> 根据第五次全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国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经济普查结果，现将我市第二产业（包括工业和建筑业）主要数据公布如下：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黑体" w:hAnsi="黑体" w:eastAsia="黑体" w:cs="黑体"/>
          <w:color w:val="0C0C0C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C0C0C"/>
          <w:sz w:val="32"/>
          <w:szCs w:val="32"/>
          <w:u w:val="none"/>
          <w:lang w:eastAsia="zh-CN"/>
        </w:rPr>
        <w:t>一、工业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center"/>
        <w:rPr>
          <w:rFonts w:hint="eastAsia" w:ascii="楷体" w:hAnsi="楷体" w:eastAsia="楷体" w:cs="楷体"/>
          <w:color w:val="0C0C0C"/>
          <w:sz w:val="32"/>
          <w:szCs w:val="32"/>
          <w:lang w:val="en" w:eastAsia="zh-CN"/>
        </w:rPr>
      </w:pPr>
      <w:r>
        <w:rPr>
          <w:rFonts w:hint="eastAsia" w:ascii="楷体" w:hAnsi="楷体" w:eastAsia="楷体" w:cs="楷体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   （一）企业法人单位数和从业人员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2023年末，万宁市共有工业企业法人单位</w:t>
      </w:r>
      <w:r>
        <w:rPr>
          <w:rFonts w:hint="eastAsia" w:ascii="仿宋" w:hAnsi="仿宋" w:eastAsia="仿宋" w:cs="仿宋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301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个，比2018年末增长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78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%；从业人员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15473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人，比2018年末增长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113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在工业企业法人单位中，内资企业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280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个，占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93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%；其他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21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个，占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在工业企业法人单位从业人员中，内资企业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15308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人，占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99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%；其他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165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人，占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%（详见表3-1）。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6" w:right="6" w:firstLine="0" w:firstLineChars="0"/>
        <w:jc w:val="center"/>
        <w:textAlignment w:val="auto"/>
        <w:rPr>
          <w:rFonts w:hint="eastAsia" w:ascii="Times New Roman" w:hAnsi="Times New Roman" w:eastAsia="宋体" w:cs="宋体"/>
          <w:i w:val="0"/>
          <w:caps w:val="0"/>
          <w:color w:val="0C0C0C"/>
          <w:spacing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表3-1　按登记注册统计类别分组的工业企业法人单位数和从业人员</w:t>
      </w:r>
    </w:p>
    <w:tbl>
      <w:tblPr>
        <w:tblStyle w:val="8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46"/>
        <w:gridCol w:w="2540"/>
        <w:gridCol w:w="1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16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529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1154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31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 w:val="0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152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 w:val="0"/>
                <w:color w:val="0C0C0C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301</w:t>
            </w:r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 w:val="0"/>
                <w:color w:val="0C0C0C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15473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31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内资企业</w:t>
            </w:r>
          </w:p>
        </w:tc>
        <w:tc>
          <w:tcPr>
            <w:tcW w:w="152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280</w:t>
            </w:r>
          </w:p>
        </w:tc>
        <w:tc>
          <w:tcPr>
            <w:tcW w:w="1154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15308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31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leftChars="0" w:right="6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</w:t>
            </w:r>
          </w:p>
        </w:tc>
        <w:tc>
          <w:tcPr>
            <w:tcW w:w="152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154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165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1" w:beforeLines="1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在工业企业法人单位中，采矿业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个，制造业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259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个，电力、热力、燃气及水生产和供应业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22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个，分别占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6.6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%、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86.1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%和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7.3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%。在工业行业大类中，农副食品加工业、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非金属矿物制品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业、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电力、热力生产和供应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业企业法人单位数位居前三位，分别占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43.2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%、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12.0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%和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6.0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在工业企业法人单位从业人员中，采矿业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203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人，制造业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14480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人，电力、热力、燃气及水生产和供应业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790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人，分别占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1.3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%、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93.6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%和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5.1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%。在工业行业大类中，农副食品加工业，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非金属矿物制品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业，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酒、饮料和精制茶制造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业从业人员数位居前三位，分别占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79.3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%、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4.4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%和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4.3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%（详见表3-2）。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left="6" w:right="6" w:firstLine="0" w:firstLineChars="0"/>
        <w:jc w:val="center"/>
        <w:textAlignment w:val="auto"/>
        <w:rPr>
          <w:rFonts w:hint="eastAsia" w:ascii="Times New Roman" w:hAnsi="Times New Roman" w:eastAsia="宋体" w:cs="宋体"/>
          <w:i w:val="0"/>
          <w:caps w:val="0"/>
          <w:color w:val="0C0C0C"/>
          <w:spacing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表3-2　按行业大类分组的工业企业法人单位数和从业人员</w:t>
      </w: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54"/>
        <w:gridCol w:w="1503"/>
        <w:gridCol w:w="1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73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13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301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15473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煤炭开采和洗选业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石油和天然气开采业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黑色金属矿采选业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有色金属矿采选业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非金属矿采选业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开采专业及辅助性活动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其他采矿业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NA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农副食品加工业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130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12269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食品制造业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酒、饮料和精制茶制造业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烟草制品业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纺织业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NA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纺织服装、服饰业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NA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皮革、毛皮、羽毛及其制品和制鞋业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木材加工和木、竹、藤、棕、草制品业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家具制造业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NA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造纸和纸制品业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NA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印刷和记录媒介复制业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NA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文教、工美、体育和娱乐用品制造业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NA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石油、煤炭及其他燃料加工业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NA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化学原料和化学制品制造业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医药制造业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NA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化学纤维制造业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橡胶和塑料制品业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NA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非金属矿物制品业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黑色金属冶炼和压延加工业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有色金属冶炼和压延加工业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金属制品业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通用设备制造业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NA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专用设备制造业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汽车制造业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铁路、船舶、航空航天和其他运输设备制造业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NA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电气机械和器材制造业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NA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计算机、通信和其他电子设备制造业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仪器仪表制造业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其他制造业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废弃资源综合利用业　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NA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金属制品、机械和设备修理业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NA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电力、热力生产和供应业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燃气生产和供应业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NA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3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水的生产和供应业</w:t>
            </w:r>
          </w:p>
        </w:tc>
        <w:tc>
          <w:tcPr>
            <w:tcW w:w="155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503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（二）主要经济指标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2023年末，工业企业法人单位资产总计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144.09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亿元，比2018年末增长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170.24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%；负债合计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92.10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亿元，比2018年末增长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171.76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2023年，工业企业法人单位全年实现营业收入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125.59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亿元，比2018年增长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val="en-US" w:eastAsia="zh-CN"/>
        </w:rPr>
        <w:t>370.12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%（详见表3-3）。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left="6" w:right="6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表3-3　按行业大类分组的工业企业法人单位主要经济指标</w:t>
      </w:r>
    </w:p>
    <w:tbl>
      <w:tblPr>
        <w:tblStyle w:val="8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5"/>
        <w:gridCol w:w="1322"/>
        <w:gridCol w:w="1126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785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79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资产总计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亿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  <w:tc>
          <w:tcPr>
            <w:tcW w:w="67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负债合计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亿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  <w:tc>
          <w:tcPr>
            <w:tcW w:w="74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营业收入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亿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144.09 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92.10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125.59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煤炭开采和洗选业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石油和天然气开采业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黑色金属矿采选业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0.17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0.05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有色金属矿采选业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0.56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0.01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非金属矿采选业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8.75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6.03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开采专业及辅助性活动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其他采矿业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0.01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0.01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农副食品加工业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63.58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43.18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98.66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食品制造业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0.66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0.16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酒、饮料和精制茶制造业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9.83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3.40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烟草制品业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纺织业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0.01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纺织服装、服饰业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0.00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皮革、毛皮、羽毛及其制品和制鞋业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木材加工和木、竹、藤、棕、草制品业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0.36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0.43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家具制造业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0.01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0.02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造纸和纸制品业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0.00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印刷和记录媒介复制业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0.00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文教、工美、体育和娱乐用品制造业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0.05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0.03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石油、煤炭及其他燃料加工业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0.47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化学原料和化学制品制造业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0.05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0.02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医药制造业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1.86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0.83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化学纤维制造业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橡胶和塑料制品业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0.02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0.01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非金属矿物制品业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11.35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8.48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6.99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黑色金属冶炼和压延加工业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有色金属冶炼和压延加工业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0.08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金属制品业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5.63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4.07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通用设备制造业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0.09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0.08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专用设备制造业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1.93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1.13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汽车制造业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铁路、船舶、航空航天和其他运输设备制造业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0.00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电气机械和器材制造业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0.06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计算机、通信和其他电子设备制造业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仪器仪表制造业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其他制造业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废弃资源综合利用业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0.01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金属制品、机械和设备修理业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0.00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电力、热力生产和供应业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25.53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17.60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13.07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燃气生产和供应业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0.63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0.46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85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水的生产和供应业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12.37 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6.09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0.73 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96" w:beforeLines="50" w:beforeAutospacing="0" w:after="0" w:afterAutospacing="0" w:line="600" w:lineRule="exact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黑体" w:hAnsi="黑体" w:eastAsia="黑体" w:cs="黑体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 （三）主要工业产品产量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C0C0C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" w:eastAsia="zh-CN" w:bidi="ar-SA"/>
        </w:rPr>
        <w:t>2023年，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规模以上工业主要产品产量详见表3-4。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79" w:afterLines="3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表3-4　规模以上工业主要产品产量</w:t>
      </w:r>
    </w:p>
    <w:tbl>
      <w:tblPr>
        <w:tblStyle w:val="8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57"/>
        <w:gridCol w:w="1638"/>
        <w:gridCol w:w="16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45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产品名称</w:t>
            </w:r>
          </w:p>
        </w:tc>
        <w:tc>
          <w:tcPr>
            <w:tcW w:w="98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96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产量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4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精制茶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吨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中成药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吨</w:t>
            </w:r>
          </w:p>
        </w:tc>
        <w:tc>
          <w:tcPr>
            <w:tcW w:w="96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165.2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30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商品混泥土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立方米</w:t>
            </w:r>
          </w:p>
        </w:tc>
        <w:tc>
          <w:tcPr>
            <w:tcW w:w="96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1181450.28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自来水生产量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万立方米</w:t>
            </w:r>
          </w:p>
        </w:tc>
        <w:tc>
          <w:tcPr>
            <w:tcW w:w="96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3079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卷烟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亿支</w:t>
            </w:r>
          </w:p>
        </w:tc>
        <w:tc>
          <w:tcPr>
            <w:tcW w:w="96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彩色电视机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万台</w:t>
            </w:r>
          </w:p>
        </w:tc>
        <w:tc>
          <w:tcPr>
            <w:tcW w:w="96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　　其中：液晶电视机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万台</w:t>
            </w:r>
          </w:p>
        </w:tc>
        <w:tc>
          <w:tcPr>
            <w:tcW w:w="96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家用电冰箱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万台</w:t>
            </w:r>
          </w:p>
        </w:tc>
        <w:tc>
          <w:tcPr>
            <w:tcW w:w="96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房间空气调节器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万台</w:t>
            </w:r>
          </w:p>
        </w:tc>
        <w:tc>
          <w:tcPr>
            <w:tcW w:w="96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粗钢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万吨</w:t>
            </w:r>
          </w:p>
        </w:tc>
        <w:tc>
          <w:tcPr>
            <w:tcW w:w="96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钢材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万吨</w:t>
            </w:r>
          </w:p>
        </w:tc>
        <w:tc>
          <w:tcPr>
            <w:tcW w:w="96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十种有色金属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万吨</w:t>
            </w:r>
          </w:p>
        </w:tc>
        <w:tc>
          <w:tcPr>
            <w:tcW w:w="96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　　其中：精炼铜（电解铜）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万吨</w:t>
            </w:r>
          </w:p>
        </w:tc>
        <w:tc>
          <w:tcPr>
            <w:tcW w:w="96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原铝（电解铝）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万吨</w:t>
            </w:r>
          </w:p>
        </w:tc>
        <w:tc>
          <w:tcPr>
            <w:tcW w:w="96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水泥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亿吨</w:t>
            </w:r>
          </w:p>
        </w:tc>
        <w:tc>
          <w:tcPr>
            <w:tcW w:w="96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硫酸（折100%）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万吨</w:t>
            </w:r>
          </w:p>
        </w:tc>
        <w:tc>
          <w:tcPr>
            <w:tcW w:w="96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烧碱（折100%）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万吨</w:t>
            </w:r>
          </w:p>
        </w:tc>
        <w:tc>
          <w:tcPr>
            <w:tcW w:w="96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乙烯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万吨</w:t>
            </w:r>
          </w:p>
        </w:tc>
        <w:tc>
          <w:tcPr>
            <w:tcW w:w="96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化肥（折100%）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万吨</w:t>
            </w:r>
          </w:p>
        </w:tc>
        <w:tc>
          <w:tcPr>
            <w:tcW w:w="96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发电机组（发电设备）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万千瓦</w:t>
            </w:r>
          </w:p>
        </w:tc>
        <w:tc>
          <w:tcPr>
            <w:tcW w:w="96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30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汽车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万辆</w:t>
            </w:r>
          </w:p>
        </w:tc>
        <w:tc>
          <w:tcPr>
            <w:tcW w:w="96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　　其中：新能源汽车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万辆</w:t>
            </w:r>
          </w:p>
        </w:tc>
        <w:tc>
          <w:tcPr>
            <w:tcW w:w="96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太阳能工业用超白玻璃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万平方米</w:t>
            </w:r>
          </w:p>
        </w:tc>
        <w:tc>
          <w:tcPr>
            <w:tcW w:w="96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2" w:lineRule="exact"/>
              <w:ind w:left="6" w:right="6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C0C0C"/>
          <w:kern w:val="2"/>
          <w:sz w:val="32"/>
          <w:szCs w:val="32"/>
          <w:u w:val="none"/>
          <w:lang w:val="en-US" w:eastAsia="zh-CN" w:bidi="ar-SA"/>
        </w:rPr>
        <w:t>二、建筑业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（一）企业法人单位数和从业人员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 xml:space="preserve">    2023年末，全市共有建筑业企业法人单位525个，比2018年末增长356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eastAsia="zh-CN" w:bidi="ar-SA"/>
        </w:rPr>
        <w:t>.5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%；从业人员3585人，比2018年末增长114</w:t>
      </w:r>
      <w:r>
        <w:rPr>
          <w:rFonts w:hint="eastAsia" w:ascii="仿宋" w:hAnsi="仿宋" w:eastAsia="仿宋" w:cs="仿宋"/>
          <w:color w:val="0C0C0C"/>
          <w:sz w:val="32"/>
          <w:szCs w:val="32"/>
          <w:u w:val="none"/>
          <w:lang w:eastAsia="zh-CN"/>
        </w:rPr>
        <w:t>.5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 xml:space="preserve">    建筑业企业法人单位中，内资企业525个，占100%。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建筑业企业法人单位从业人员中，内资企业3585人，占100%（详见表3-6）。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79" w:afterLines="30" w:afterAutospacing="0" w:line="60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表3-6　按登记注册统计类别分组的建筑业企业法人单位数和从业人员</w:t>
      </w:r>
    </w:p>
    <w:tbl>
      <w:tblPr>
        <w:tblStyle w:val="8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27"/>
        <w:gridCol w:w="2704"/>
        <w:gridCol w:w="2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83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62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148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8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525</w:t>
            </w:r>
          </w:p>
        </w:tc>
        <w:tc>
          <w:tcPr>
            <w:tcW w:w="148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3585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83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内资企业</w:t>
            </w:r>
          </w:p>
        </w:tc>
        <w:tc>
          <w:tcPr>
            <w:tcW w:w="162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525</w:t>
            </w:r>
          </w:p>
        </w:tc>
        <w:tc>
          <w:tcPr>
            <w:tcW w:w="148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3585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83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right="6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</w:t>
            </w:r>
          </w:p>
        </w:tc>
        <w:tc>
          <w:tcPr>
            <w:tcW w:w="162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48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0C0C0C"/>
          <w:kern w:val="2"/>
          <w:sz w:val="32"/>
          <w:szCs w:val="32"/>
          <w:u w:val="none"/>
          <w:lang w:val="en-US" w:eastAsia="zh-CN" w:bidi="ar-SA"/>
        </w:rPr>
        <w:t>　　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建筑业企业法人单位中，房屋建筑业占34.7%，土木工程建筑业占8%，建筑安装业占8.2%，建筑装饰、装修和其他建筑业占49.1%。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 xml:space="preserve">    建筑业企业法人单位从业人员中，房屋建筑业占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eastAsia="zh-CN" w:bidi="ar-SA"/>
        </w:rPr>
        <w:t>54.7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%，土木工程建筑业占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eastAsia="zh-CN" w:bidi="ar-SA"/>
        </w:rPr>
        <w:t>4.5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%，建筑安装业占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eastAsia="zh-CN" w:bidi="ar-SA"/>
        </w:rPr>
        <w:t>6.6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%，建筑装饰、装修和其他建筑业占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eastAsia="zh-CN" w:bidi="ar-SA"/>
        </w:rPr>
        <w:t>34.2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>%（详见表3-7）。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79" w:afterLines="30" w:afterAutospacing="0" w:line="60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表3-7　按行业大类分组的建筑业企业法人单位数和从业人员</w:t>
      </w: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49"/>
        <w:gridCol w:w="2545"/>
        <w:gridCol w:w="1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1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29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21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right="6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leftChars="0" w:right="6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 w:val="0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 w:val="0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525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 w:val="0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3585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1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leftChars="0" w:right="6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房屋建筑业</w:t>
            </w:r>
          </w:p>
        </w:tc>
        <w:tc>
          <w:tcPr>
            <w:tcW w:w="290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182</w:t>
            </w:r>
          </w:p>
        </w:tc>
        <w:tc>
          <w:tcPr>
            <w:tcW w:w="211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1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leftChars="0" w:right="6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土木工程建筑业</w:t>
            </w:r>
          </w:p>
        </w:tc>
        <w:tc>
          <w:tcPr>
            <w:tcW w:w="290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42</w:t>
            </w:r>
          </w:p>
        </w:tc>
        <w:tc>
          <w:tcPr>
            <w:tcW w:w="211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1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leftChars="0" w:right="6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建筑安装业</w:t>
            </w:r>
          </w:p>
        </w:tc>
        <w:tc>
          <w:tcPr>
            <w:tcW w:w="290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43</w:t>
            </w:r>
          </w:p>
        </w:tc>
        <w:tc>
          <w:tcPr>
            <w:tcW w:w="211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18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6" w:leftChars="0" w:right="6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建筑装饰、装修和其他建筑业</w:t>
            </w:r>
          </w:p>
        </w:tc>
        <w:tc>
          <w:tcPr>
            <w:tcW w:w="290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258</w:t>
            </w:r>
          </w:p>
        </w:tc>
        <w:tc>
          <w:tcPr>
            <w:tcW w:w="2111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1226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（二）主要经济指标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0C0C0C"/>
          <w:kern w:val="2"/>
          <w:sz w:val="32"/>
          <w:szCs w:val="32"/>
          <w:u w:val="non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 xml:space="preserve"> 2023年末，建筑业企业法人单位资产总计29.56亿元，比2018年末增长62.2%；负债合计16.27亿元，比2018年末下降2.4%。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cs="Times New Roman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C0C0C"/>
          <w:kern w:val="2"/>
          <w:sz w:val="32"/>
          <w:szCs w:val="32"/>
          <w:u w:val="none"/>
          <w:lang w:val="en-US" w:eastAsia="zh-CN" w:bidi="ar-SA"/>
        </w:rPr>
        <w:t xml:space="preserve">    2023年，建筑业企业法人单位全年实现营业收入25.64亿元，比2018年增长15.4%（详见表3-8）。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79" w:afterLines="30" w:afterAutospacing="0" w:line="60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表3-8　按行业大类分组的建筑业企业法人单位主要经济指标</w:t>
      </w:r>
    </w:p>
    <w:tbl>
      <w:tblPr>
        <w:tblStyle w:val="8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39"/>
        <w:gridCol w:w="1787"/>
        <w:gridCol w:w="1787"/>
        <w:gridCol w:w="1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69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07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资产总计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（亿元）</w:t>
            </w:r>
          </w:p>
        </w:tc>
        <w:tc>
          <w:tcPr>
            <w:tcW w:w="107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负债合计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（亿元）</w:t>
            </w:r>
          </w:p>
        </w:tc>
        <w:tc>
          <w:tcPr>
            <w:tcW w:w="1077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营业收入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（亿元）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69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29.56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16.27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25.64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69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房屋建筑业</w:t>
            </w:r>
          </w:p>
        </w:tc>
        <w:tc>
          <w:tcPr>
            <w:tcW w:w="107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24.67</w:t>
            </w:r>
          </w:p>
        </w:tc>
        <w:tc>
          <w:tcPr>
            <w:tcW w:w="107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13.96</w:t>
            </w:r>
          </w:p>
        </w:tc>
        <w:tc>
          <w:tcPr>
            <w:tcW w:w="107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21.48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69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土木工程建筑业</w:t>
            </w:r>
          </w:p>
        </w:tc>
        <w:tc>
          <w:tcPr>
            <w:tcW w:w="107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0.29</w:t>
            </w:r>
          </w:p>
        </w:tc>
        <w:tc>
          <w:tcPr>
            <w:tcW w:w="107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0.29</w:t>
            </w:r>
          </w:p>
        </w:tc>
        <w:tc>
          <w:tcPr>
            <w:tcW w:w="107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69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建筑安装业</w:t>
            </w:r>
          </w:p>
        </w:tc>
        <w:tc>
          <w:tcPr>
            <w:tcW w:w="107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0.61</w:t>
            </w:r>
          </w:p>
        </w:tc>
        <w:tc>
          <w:tcPr>
            <w:tcW w:w="107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0.10</w:t>
            </w:r>
          </w:p>
        </w:tc>
        <w:tc>
          <w:tcPr>
            <w:tcW w:w="107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69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建筑装饰、装修和其他建筑业</w:t>
            </w:r>
          </w:p>
        </w:tc>
        <w:tc>
          <w:tcPr>
            <w:tcW w:w="1076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3.99</w:t>
            </w:r>
          </w:p>
        </w:tc>
        <w:tc>
          <w:tcPr>
            <w:tcW w:w="1076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1.92</w:t>
            </w:r>
          </w:p>
        </w:tc>
        <w:tc>
          <w:tcPr>
            <w:tcW w:w="1077" w:type="pct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3.50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rPr>
          <w:rFonts w:hint="eastAsia" w:ascii="仿宋" w:hAnsi="仿宋" w:eastAsia="仿宋" w:cs="仿宋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C0C0C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注释：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   [1]登记注册统计类别：根据国家统计局、国家市场监督管理总局《关于市场主体统计分类的划分规定》（国统字〔2023〕14号）确定，包括内资企业、港澳台投资企业和外商投资企业，以及农民专业合作社（联合社）等其他统计类别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   [2]规模以上工业：是指年主营业务收入2000万元及以上的工业法人单位。</w:t>
      </w:r>
    </w:p>
    <w:p>
      <w:pPr>
        <w:rPr>
          <w:rFonts w:hint="eastAsia" w:ascii="仿宋" w:hAnsi="仿宋" w:eastAsia="仿宋" w:cs="仿宋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[3]表中的合计数和部分计算数据因小数取舍而产生的误差，均未作机械调整。为保证数据精确度，个别数据保留2位小数。</w:t>
      </w:r>
    </w:p>
    <w:p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[4]表中“NA”表示部分行业企业法人单位数量小于等于3个。</w:t>
      </w:r>
    </w:p>
    <w:p>
      <w:pPr>
        <w:rPr>
          <w:rFonts w:hint="eastAsia" w:ascii="仿宋" w:hAnsi="仿宋" w:eastAsia="仿宋" w:cs="仿宋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A4895"/>
    <w:rsid w:val="051C1AEA"/>
    <w:rsid w:val="275034D2"/>
    <w:rsid w:val="34784736"/>
    <w:rsid w:val="3A391478"/>
    <w:rsid w:val="3A7A4895"/>
    <w:rsid w:val="3C7F01B3"/>
    <w:rsid w:val="403B1216"/>
    <w:rsid w:val="410E52E6"/>
    <w:rsid w:val="45553CA9"/>
    <w:rsid w:val="51556B46"/>
    <w:rsid w:val="593B284C"/>
    <w:rsid w:val="6AAA6DE4"/>
    <w:rsid w:val="6FCC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8" w:lineRule="exact"/>
      <w:ind w:firstLine="200" w:firstLineChars="200"/>
      <w:jc w:val="both"/>
      <w:textAlignment w:val="center"/>
    </w:pPr>
    <w:rPr>
      <w:rFonts w:ascii="Times New Roman" w:hAnsi="Times New Roman" w:eastAsia="方正仿宋_GBK" w:cs="Times New Roman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4">
    <w:name w:val="Normal Indent"/>
    <w:basedOn w:val="1"/>
    <w:next w:val="1"/>
    <w:qFormat/>
    <w:uiPriority w:val="0"/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itle"/>
    <w:basedOn w:val="1"/>
    <w:next w:val="1"/>
    <w:qFormat/>
    <w:uiPriority w:val="10"/>
    <w:pPr>
      <w:widowControl/>
      <w:ind w:firstLine="0" w:firstLineChars="0"/>
      <w:jc w:val="center"/>
    </w:pPr>
    <w:rPr>
      <w:rFonts w:eastAsia="方正小标宋简体"/>
      <w:b/>
      <w:bCs/>
      <w:sz w:val="40"/>
    </w:rPr>
  </w:style>
  <w:style w:type="paragraph" w:styleId="7">
    <w:name w:val="Body Text First Indent"/>
    <w:basedOn w:val="5"/>
    <w:next w:val="2"/>
    <w:unhideWhenUsed/>
    <w:qFormat/>
    <w:uiPriority w:val="99"/>
    <w:pPr>
      <w:autoSpaceDE/>
      <w:autoSpaceDN/>
      <w:spacing w:after="120"/>
      <w:ind w:left="0" w:firstLine="420" w:firstLineChars="100"/>
      <w:jc w:val="both"/>
    </w:pPr>
    <w:rPr>
      <w:rFonts w:ascii="等线" w:hAnsi="等线" w:eastAsia="等线" w:cs="Times New Roman"/>
      <w:kern w:val="2"/>
      <w:sz w:val="21"/>
      <w:szCs w:val="2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661</Words>
  <Characters>803</Characters>
  <Lines>0</Lines>
  <Paragraphs>0</Paragraphs>
  <TotalTime>0</TotalTime>
  <ScaleCrop>false</ScaleCrop>
  <LinksUpToDate>false</LinksUpToDate>
  <CharactersWithSpaces>821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2025-06-02T15:02:00Z</dcterms:created>
  <dc:creator>不忘初心</dc:creator>
  <cp:lastModifiedBy>市统计局收发员</cp:lastModifiedBy>
  <dcterms:modified xsi:type="dcterms:W3CDTF">2025-07-24T03:23:37Z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3260558023214B01BB6AA9DF1B62D73D_11</vt:lpwstr>
  </property>
  <property fmtid="{D5CDD505-2E9C-101B-9397-08002B2CF9AE}" pid="4" name="KSOTemplateDocerSaveRecord">
    <vt:lpwstr>eyJoZGlkIjoiN2I1M2VhZjk5MzU1YTA2YmI1ZmQ4YmJlMGY5NzQ2NjYiLCJ1c2VySWQiOiIyNjkyMTIzMDYifQ==</vt:lpwstr>
  </property>
</Properties>
</file>