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F7331">
      <w:pPr>
        <w:shd w:val="clear"/>
        <w:spacing w:after="156" w:afterLines="50" w:line="360" w:lineRule="auto"/>
        <w:ind w:firstLine="0" w:firstLineChars="0"/>
        <w:jc w:val="center"/>
        <w:outlineLvl w:val="9"/>
        <w:rPr>
          <w:rFonts w:hint="eastAsia" w:ascii="方正小标宋_GBK" w:hAnsi="方正小标宋_GBK" w:eastAsia="方正小标宋_GBK"/>
          <w:b/>
          <w:bCs/>
          <w:color w:val="auto"/>
          <w:sz w:val="52"/>
          <w:szCs w:val="52"/>
          <w:highlight w:val="none"/>
        </w:rPr>
      </w:pPr>
      <w:bookmarkStart w:id="0" w:name="bookmark3"/>
      <w:bookmarkEnd w:id="0"/>
      <w:bookmarkStart w:id="1" w:name="bookmark5"/>
      <w:bookmarkEnd w:id="1"/>
      <w:bookmarkStart w:id="2" w:name="bookmark1"/>
      <w:bookmarkEnd w:id="2"/>
      <w:bookmarkStart w:id="3" w:name="bookmark4"/>
      <w:bookmarkEnd w:id="3"/>
      <w:bookmarkStart w:id="4" w:name="bookmark6"/>
      <w:bookmarkEnd w:id="4"/>
      <w:bookmarkStart w:id="5" w:name="bookmark2"/>
      <w:bookmarkEnd w:id="5"/>
      <w:bookmarkStart w:id="6" w:name="_Toc23114"/>
      <w:bookmarkStart w:id="7" w:name="_Toc9619"/>
      <w:bookmarkStart w:id="8" w:name="_Toc8322"/>
      <w:bookmarkStart w:id="9" w:name="_Toc3260"/>
      <w:bookmarkStart w:id="10" w:name="_Toc5638"/>
      <w:bookmarkStart w:id="11" w:name="_Toc29615"/>
      <w:bookmarkStart w:id="12" w:name="_Toc22492"/>
      <w:bookmarkStart w:id="13" w:name="_Toc16381"/>
      <w:bookmarkStart w:id="14" w:name="_Toc3717"/>
      <w:bookmarkStart w:id="15" w:name="_Toc178147781"/>
    </w:p>
    <w:p w14:paraId="514832C2">
      <w:pPr>
        <w:pStyle w:val="12"/>
        <w:rPr>
          <w:rFonts w:hint="eastAsia"/>
        </w:rPr>
      </w:pPr>
    </w:p>
    <w:p w14:paraId="55A996AD">
      <w:pPr>
        <w:shd w:val="clear"/>
        <w:spacing w:after="156" w:afterLines="50" w:line="360" w:lineRule="auto"/>
        <w:ind w:firstLine="0" w:firstLineChars="0"/>
        <w:jc w:val="center"/>
        <w:outlineLvl w:val="0"/>
        <w:rPr>
          <w:rFonts w:hint="default" w:ascii="方正小标宋_GBK" w:hAnsi="方正小标宋_GBK" w:eastAsia="方正小标宋_GBK"/>
          <w:b/>
          <w:bCs/>
          <w:color w:val="auto"/>
          <w:sz w:val="52"/>
          <w:szCs w:val="52"/>
          <w:highlight w:val="none"/>
          <w:lang w:val="en-US" w:eastAsia="zh-CN"/>
        </w:rPr>
      </w:pPr>
      <w:bookmarkStart w:id="16" w:name="_Toc30912"/>
      <w:bookmarkStart w:id="17" w:name="_Toc4638"/>
      <w:bookmarkStart w:id="18" w:name="_Toc25922"/>
      <w:bookmarkStart w:id="19" w:name="_Toc27654"/>
      <w:r>
        <w:rPr>
          <w:rFonts w:hint="eastAsia" w:ascii="方正小标宋_GBK" w:hAnsi="方正小标宋_GBK" w:eastAsia="方正小标宋_GBK"/>
          <w:b/>
          <w:bCs/>
          <w:color w:val="auto"/>
          <w:sz w:val="52"/>
          <w:szCs w:val="52"/>
          <w:highlight w:val="none"/>
          <w:lang w:val="en-US" w:eastAsia="zh-CN"/>
        </w:rPr>
        <w:t>万宁</w:t>
      </w:r>
      <w:r>
        <w:rPr>
          <w:rFonts w:hint="eastAsia" w:ascii="方正小标宋_GBK" w:hAnsi="方正小标宋_GBK" w:eastAsia="方正小标宋_GBK"/>
          <w:b/>
          <w:bCs/>
          <w:color w:val="auto"/>
          <w:sz w:val="52"/>
          <w:szCs w:val="52"/>
          <w:highlight w:val="none"/>
        </w:rPr>
        <w:t>市“十五五”旅游</w:t>
      </w:r>
      <w:r>
        <w:rPr>
          <w:rFonts w:hint="eastAsia" w:ascii="方正小标宋_GBK" w:hAnsi="方正小标宋_GBK" w:eastAsia="方正小标宋_GBK"/>
          <w:b/>
          <w:bCs/>
          <w:color w:val="auto"/>
          <w:sz w:val="52"/>
          <w:szCs w:val="52"/>
          <w:highlight w:val="none"/>
          <w:lang w:val="en-US" w:eastAsia="zh-CN"/>
        </w:rPr>
        <w:t>文化体育</w:t>
      </w:r>
      <w:bookmarkEnd w:id="16"/>
      <w:bookmarkEnd w:id="17"/>
      <w:bookmarkEnd w:id="18"/>
      <w:bookmarkEnd w:id="19"/>
    </w:p>
    <w:p w14:paraId="66064CC7">
      <w:pPr>
        <w:shd w:val="clear"/>
        <w:spacing w:after="156" w:afterLines="50" w:line="360" w:lineRule="auto"/>
        <w:ind w:firstLine="0" w:firstLineChars="0"/>
        <w:jc w:val="center"/>
        <w:rPr>
          <w:rFonts w:ascii="方正小标宋_GBK" w:hAnsi="方正小标宋_GBK" w:eastAsia="方正小标宋_GBK"/>
          <w:b/>
          <w:bCs/>
          <w:color w:val="auto"/>
          <w:sz w:val="52"/>
          <w:szCs w:val="52"/>
          <w:highlight w:val="none"/>
        </w:rPr>
      </w:pPr>
      <w:r>
        <w:rPr>
          <w:rFonts w:hint="eastAsia" w:ascii="方正小标宋_GBK" w:hAnsi="方正小标宋_GBK" w:eastAsia="方正小标宋_GBK"/>
          <w:b/>
          <w:bCs/>
          <w:color w:val="auto"/>
          <w:sz w:val="52"/>
          <w:szCs w:val="52"/>
          <w:highlight w:val="none"/>
        </w:rPr>
        <w:t>发展规划</w:t>
      </w:r>
    </w:p>
    <w:p w14:paraId="467B1741">
      <w:pPr>
        <w:pStyle w:val="11"/>
        <w:widowControl/>
        <w:shd w:val="clear"/>
        <w:ind w:firstLine="0" w:firstLineChars="0"/>
        <w:outlineLvl w:val="9"/>
        <w:rPr>
          <w:rFonts w:hint="eastAsia" w:ascii="Times New Roman" w:hAnsi="Times New Roman" w:eastAsia="黑体" w:cs="Times New Roman"/>
          <w:b w:val="0"/>
          <w:bCs w:val="0"/>
          <w:color w:val="auto"/>
          <w:szCs w:val="36"/>
          <w:highlight w:val="none"/>
          <w:lang w:eastAsia="zh-CN"/>
        </w:rPr>
      </w:pPr>
      <w:r>
        <w:rPr>
          <w:rFonts w:hint="eastAsia" w:ascii="Times New Roman" w:hAnsi="Times New Roman" w:eastAsia="黑体" w:cs="Times New Roman"/>
          <w:b w:val="0"/>
          <w:bCs w:val="0"/>
          <w:color w:val="auto"/>
          <w:szCs w:val="36"/>
          <w:highlight w:val="none"/>
          <w:lang w:eastAsia="zh-CN"/>
        </w:rPr>
        <w:t>（</w:t>
      </w:r>
      <w:r>
        <w:rPr>
          <w:rFonts w:hint="eastAsia" w:ascii="Times New Roman" w:hAnsi="Times New Roman" w:eastAsia="黑体" w:cs="Times New Roman"/>
          <w:b w:val="0"/>
          <w:bCs w:val="0"/>
          <w:color w:val="auto"/>
          <w:szCs w:val="36"/>
          <w:highlight w:val="none"/>
          <w:lang w:val="en-US" w:eastAsia="zh-CN"/>
        </w:rPr>
        <w:t>初稿</w:t>
      </w:r>
      <w:r>
        <w:rPr>
          <w:rFonts w:hint="eastAsia" w:ascii="Times New Roman" w:hAnsi="Times New Roman" w:eastAsia="黑体" w:cs="Times New Roman"/>
          <w:b w:val="0"/>
          <w:bCs w:val="0"/>
          <w:color w:val="auto"/>
          <w:szCs w:val="36"/>
          <w:highlight w:val="none"/>
          <w:lang w:eastAsia="zh-CN"/>
        </w:rPr>
        <w:t>）</w:t>
      </w:r>
    </w:p>
    <w:p w14:paraId="7B37E8EF">
      <w:pPr>
        <w:shd w:val="clear"/>
        <w:ind w:firstLine="640"/>
        <w:rPr>
          <w:color w:val="auto"/>
          <w:highlight w:val="none"/>
        </w:rPr>
      </w:pPr>
    </w:p>
    <w:p w14:paraId="2AF00E3D">
      <w:pPr>
        <w:pStyle w:val="11"/>
        <w:widowControl/>
        <w:shd w:val="clear"/>
        <w:ind w:firstLine="0" w:firstLineChars="0"/>
        <w:outlineLvl w:val="9"/>
        <w:rPr>
          <w:rFonts w:ascii="Times New Roman" w:hAnsi="Times New Roman" w:eastAsia="黑体" w:cs="Times New Roman"/>
          <w:b w:val="0"/>
          <w:bCs w:val="0"/>
          <w:color w:val="auto"/>
          <w:szCs w:val="36"/>
          <w:highlight w:val="none"/>
        </w:rPr>
      </w:pPr>
    </w:p>
    <w:p w14:paraId="565F05E9">
      <w:pPr>
        <w:shd w:val="clear"/>
        <w:ind w:firstLine="640"/>
        <w:rPr>
          <w:rFonts w:ascii="Times New Roman" w:hAnsi="Times New Roman" w:eastAsia="黑体"/>
          <w:color w:val="auto"/>
          <w:szCs w:val="36"/>
          <w:highlight w:val="none"/>
        </w:rPr>
      </w:pPr>
    </w:p>
    <w:p w14:paraId="7754F00C">
      <w:pPr>
        <w:shd w:val="clear"/>
        <w:ind w:firstLine="640"/>
        <w:rPr>
          <w:rFonts w:ascii="Times New Roman" w:hAnsi="Times New Roman" w:eastAsia="黑体"/>
          <w:color w:val="auto"/>
          <w:szCs w:val="36"/>
          <w:highlight w:val="none"/>
        </w:rPr>
      </w:pPr>
    </w:p>
    <w:p w14:paraId="1672ADFD">
      <w:pPr>
        <w:shd w:val="clear"/>
        <w:ind w:firstLine="640"/>
        <w:rPr>
          <w:rFonts w:ascii="Times New Roman" w:hAnsi="Times New Roman" w:eastAsia="黑体"/>
          <w:color w:val="auto"/>
          <w:szCs w:val="36"/>
          <w:highlight w:val="none"/>
        </w:rPr>
      </w:pPr>
    </w:p>
    <w:p w14:paraId="48897D6E">
      <w:pPr>
        <w:shd w:val="clear"/>
        <w:ind w:firstLine="640"/>
        <w:rPr>
          <w:rFonts w:ascii="Times New Roman" w:hAnsi="Times New Roman" w:eastAsia="黑体"/>
          <w:color w:val="auto"/>
          <w:szCs w:val="36"/>
          <w:highlight w:val="none"/>
        </w:rPr>
      </w:pPr>
    </w:p>
    <w:p w14:paraId="5D9DB97B">
      <w:pPr>
        <w:shd w:val="clear"/>
        <w:ind w:firstLine="640"/>
        <w:rPr>
          <w:rFonts w:ascii="Times New Roman" w:hAnsi="Times New Roman" w:eastAsia="黑体"/>
          <w:color w:val="auto"/>
          <w:szCs w:val="36"/>
          <w:highlight w:val="none"/>
        </w:rPr>
      </w:pPr>
    </w:p>
    <w:p w14:paraId="19468EDE">
      <w:pPr>
        <w:shd w:val="clear"/>
        <w:ind w:firstLine="640"/>
        <w:rPr>
          <w:rFonts w:ascii="Times New Roman" w:hAnsi="Times New Roman" w:eastAsia="黑体"/>
          <w:color w:val="auto"/>
          <w:szCs w:val="36"/>
          <w:highlight w:val="none"/>
        </w:rPr>
      </w:pPr>
    </w:p>
    <w:p w14:paraId="74E0C5AC">
      <w:pPr>
        <w:shd w:val="clear"/>
        <w:ind w:firstLine="640"/>
        <w:rPr>
          <w:rFonts w:ascii="Times New Roman" w:hAnsi="Times New Roman" w:eastAsia="黑体"/>
          <w:color w:val="auto"/>
          <w:szCs w:val="36"/>
          <w:highlight w:val="none"/>
        </w:rPr>
      </w:pPr>
    </w:p>
    <w:p w14:paraId="12F85699">
      <w:pPr>
        <w:shd w:val="clear"/>
        <w:ind w:left="0" w:leftChars="0" w:firstLine="0" w:firstLineChars="0"/>
        <w:rPr>
          <w:rFonts w:ascii="Times New Roman" w:hAnsi="Times New Roman" w:eastAsia="黑体"/>
          <w:color w:val="auto"/>
          <w:szCs w:val="36"/>
          <w:highlight w:val="none"/>
        </w:rPr>
      </w:pPr>
    </w:p>
    <w:p w14:paraId="753DBCE6">
      <w:pPr>
        <w:shd w:val="clear"/>
        <w:ind w:firstLine="640"/>
        <w:rPr>
          <w:rFonts w:ascii="Times New Roman" w:hAnsi="Times New Roman" w:eastAsia="黑体"/>
          <w:color w:val="auto"/>
          <w:szCs w:val="36"/>
          <w:highlight w:val="none"/>
        </w:rPr>
      </w:pPr>
    </w:p>
    <w:p w14:paraId="1F295729">
      <w:pPr>
        <w:shd w:val="clear"/>
        <w:tabs>
          <w:tab w:val="center" w:pos="4153"/>
        </w:tabs>
        <w:spacing w:line="360" w:lineRule="auto"/>
        <w:ind w:firstLine="0" w:firstLineChars="0"/>
        <w:jc w:val="both"/>
        <w:rPr>
          <w:rFonts w:hint="eastAsia" w:ascii="黑体" w:hAnsi="黑体" w:eastAsia="黑体" w:cs="黑体"/>
          <w:b/>
          <w:bCs/>
          <w:color w:val="auto"/>
          <w:sz w:val="28"/>
          <w:szCs w:val="28"/>
          <w:highlight w:val="none"/>
        </w:rPr>
      </w:pPr>
    </w:p>
    <w:p w14:paraId="64D698B1">
      <w:pPr>
        <w:pStyle w:val="12"/>
        <w:rPr>
          <w:rFonts w:hint="eastAsia"/>
        </w:rPr>
      </w:pPr>
    </w:p>
    <w:p w14:paraId="087D9670">
      <w:pPr>
        <w:shd w:val="clear"/>
        <w:tabs>
          <w:tab w:val="center" w:pos="4153"/>
        </w:tabs>
        <w:spacing w:line="360" w:lineRule="auto"/>
        <w:ind w:firstLine="0" w:firstLineChars="0"/>
        <w:jc w:val="center"/>
        <w:rPr>
          <w:rFonts w:ascii="Times New Roman" w:hAnsi="Times New Roman" w:eastAsia="方正小标宋简体"/>
          <w:b/>
          <w:bCs/>
          <w:color w:val="auto"/>
          <w:sz w:val="28"/>
          <w:szCs w:val="28"/>
          <w:highlight w:val="none"/>
          <w:lang w:val="zh-CN"/>
        </w:rPr>
      </w:pPr>
      <w:r>
        <w:rPr>
          <w:rFonts w:hint="eastAsia" w:ascii="黑体" w:hAnsi="黑体" w:eastAsia="黑体" w:cs="黑体"/>
          <w:b/>
          <w:bCs/>
          <w:color w:val="auto"/>
          <w:sz w:val="28"/>
          <w:szCs w:val="28"/>
          <w:highlight w:val="none"/>
        </w:rPr>
        <w:t>202</w:t>
      </w:r>
      <w:r>
        <w:rPr>
          <w:rFonts w:hint="eastAsia" w:ascii="黑体" w:hAnsi="黑体" w:eastAsia="黑体" w:cs="黑体"/>
          <w:b/>
          <w:bCs/>
          <w:color w:val="auto"/>
          <w:sz w:val="28"/>
          <w:szCs w:val="28"/>
          <w:highlight w:val="none"/>
          <w:lang w:val="en-US" w:eastAsia="zh-CN"/>
        </w:rPr>
        <w:t>6</w:t>
      </w:r>
      <w:r>
        <w:rPr>
          <w:rFonts w:hint="eastAsia" w:ascii="黑体" w:hAnsi="黑体" w:eastAsia="黑体" w:cs="黑体"/>
          <w:b/>
          <w:bCs/>
          <w:color w:val="auto"/>
          <w:sz w:val="28"/>
          <w:szCs w:val="28"/>
          <w:highlight w:val="none"/>
        </w:rPr>
        <w:t>年</w:t>
      </w:r>
      <w:r>
        <w:rPr>
          <w:rFonts w:hint="eastAsia" w:ascii="黑体" w:hAnsi="黑体" w:eastAsia="黑体" w:cs="黑体"/>
          <w:b/>
          <w:bCs/>
          <w:color w:val="auto"/>
          <w:sz w:val="28"/>
          <w:szCs w:val="28"/>
          <w:highlight w:val="none"/>
          <w:lang w:val="en-US" w:eastAsia="zh-CN"/>
        </w:rPr>
        <w:t>5</w:t>
      </w:r>
      <w:r>
        <w:rPr>
          <w:rFonts w:hint="eastAsia" w:ascii="黑体" w:hAnsi="黑体" w:eastAsia="黑体" w:cs="黑体"/>
          <w:b/>
          <w:bCs/>
          <w:color w:val="auto"/>
          <w:sz w:val="28"/>
          <w:szCs w:val="28"/>
          <w:highlight w:val="none"/>
        </w:rPr>
        <w:t>月</w:t>
      </w:r>
    </w:p>
    <w:p w14:paraId="30766E07">
      <w:pPr>
        <w:keepNext/>
        <w:keepLines/>
        <w:widowControl w:val="0"/>
        <w:kinsoku/>
        <w:autoSpaceDE/>
        <w:autoSpaceDN/>
        <w:adjustRightInd/>
        <w:snapToGrid/>
        <w:spacing w:after="94" w:afterLines="0" w:line="640" w:lineRule="exact"/>
        <w:ind w:firstLine="0" w:firstLineChars="0"/>
        <w:jc w:val="center"/>
        <w:textAlignment w:val="auto"/>
        <w:outlineLvl w:val="9"/>
        <w:rPr>
          <w:rFonts w:hint="eastAsia" w:ascii="黑体" w:hAnsi="黑体" w:eastAsia="黑体" w:cs="Times New Roman"/>
          <w:b/>
          <w:bCs w:val="0"/>
          <w:snapToGrid/>
          <w:color w:val="000000"/>
          <w:kern w:val="44"/>
          <w:sz w:val="32"/>
          <w:szCs w:val="44"/>
          <w:lang w:val="en-US" w:eastAsia="zh-CN" w:bidi="ar-SA"/>
        </w:rPr>
        <w:sectPr>
          <w:headerReference r:id="rId5" w:type="default"/>
          <w:pgSz w:w="11906" w:h="16838"/>
          <w:pgMar w:top="1440" w:right="1800" w:bottom="1440" w:left="1800" w:header="851" w:footer="992" w:gutter="0"/>
          <w:pgNumType w:fmt="decimal" w:start="0"/>
          <w:cols w:space="425" w:num="1"/>
          <w:docGrid w:type="lines" w:linePitch="312" w:charSpace="0"/>
        </w:sectPr>
      </w:pPr>
    </w:p>
    <w:sdt>
      <w:sdtPr>
        <w:rPr>
          <w:rFonts w:hint="eastAsia" w:ascii="黑体" w:hAnsi="黑体" w:eastAsia="黑体"/>
          <w:color w:val="auto"/>
          <w:kern w:val="44"/>
          <w:sz w:val="40"/>
          <w:szCs w:val="40"/>
          <w:highlight w:val="none"/>
          <w:lang w:val="en-US" w:eastAsia="zh-CN"/>
        </w:rPr>
        <w:id w:val="147454702"/>
        <w15:color w:val="DBDBDB"/>
        <w:docPartObj>
          <w:docPartGallery w:val="Table of Contents"/>
          <w:docPartUnique/>
        </w:docPartObj>
      </w:sdtPr>
      <w:sdtEndPr>
        <w:rPr>
          <w:rFonts w:hint="eastAsia" w:ascii="黑体" w:hAnsi="黑体" w:eastAsia="黑体" w:cs="Times New Roman"/>
          <w:bCs w:val="0"/>
          <w:snapToGrid/>
          <w:color w:val="000000"/>
          <w:kern w:val="44"/>
          <w:sz w:val="40"/>
          <w:szCs w:val="44"/>
          <w:highlight w:val="none"/>
          <w:lang w:val="en-US" w:eastAsia="zh-CN" w:bidi="ar-SA"/>
        </w:rPr>
      </w:sdtEndPr>
      <w:sdtContent>
        <w:p w14:paraId="7136381E">
          <w:pPr>
            <w:shd w:val="clear"/>
            <w:spacing w:line="240" w:lineRule="auto"/>
            <w:ind w:firstLine="0" w:firstLineChars="0"/>
            <w:jc w:val="center"/>
            <w:rPr>
              <w:rFonts w:hint="eastAsia" w:ascii="黑体" w:hAnsi="黑体" w:eastAsia="黑体"/>
              <w:color w:val="auto"/>
              <w:kern w:val="44"/>
              <w:sz w:val="40"/>
              <w:szCs w:val="40"/>
              <w:highlight w:val="none"/>
              <w:lang w:val="zh-CN"/>
            </w:rPr>
          </w:pPr>
          <w:r>
            <w:rPr>
              <w:rFonts w:hint="eastAsia" w:ascii="黑体" w:hAnsi="黑体" w:eastAsia="黑体"/>
              <w:color w:val="auto"/>
              <w:kern w:val="44"/>
              <w:sz w:val="40"/>
              <w:szCs w:val="40"/>
              <w:highlight w:val="none"/>
              <w:lang w:val="zh-CN"/>
            </w:rPr>
            <w:t>目</w:t>
          </w:r>
          <w:r>
            <w:rPr>
              <w:rFonts w:hint="eastAsia" w:ascii="黑体" w:hAnsi="黑体" w:eastAsia="黑体"/>
              <w:color w:val="auto"/>
              <w:kern w:val="44"/>
              <w:sz w:val="40"/>
              <w:szCs w:val="40"/>
              <w:highlight w:val="none"/>
              <w:lang w:val="en-US" w:eastAsia="zh-CN"/>
            </w:rPr>
            <w:t xml:space="preserve"> </w:t>
          </w:r>
          <w:r>
            <w:rPr>
              <w:rFonts w:hint="eastAsia" w:ascii="黑体" w:hAnsi="黑体" w:eastAsia="黑体"/>
              <w:color w:val="auto"/>
              <w:kern w:val="44"/>
              <w:sz w:val="40"/>
              <w:szCs w:val="40"/>
              <w:highlight w:val="none"/>
              <w:lang w:val="zh-CN"/>
            </w:rPr>
            <w:t>录</w:t>
          </w:r>
        </w:p>
        <w:p w14:paraId="758FA22E">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Times New Roman"/>
              <w:b/>
              <w:bCs w:val="0"/>
              <w:snapToGrid/>
              <w:color w:val="000000"/>
              <w:kern w:val="44"/>
              <w:sz w:val="32"/>
              <w:szCs w:val="44"/>
              <w:lang w:val="en-US" w:eastAsia="zh-CN" w:bidi="ar-SA"/>
            </w:rPr>
            <w:fldChar w:fldCharType="begin"/>
          </w:r>
          <w:r>
            <w:rPr>
              <w:rFonts w:hint="eastAsia" w:ascii="黑体" w:hAnsi="黑体" w:eastAsia="黑体" w:cs="Times New Roman"/>
              <w:b/>
              <w:bCs w:val="0"/>
              <w:snapToGrid/>
              <w:color w:val="000000"/>
              <w:kern w:val="44"/>
              <w:sz w:val="32"/>
              <w:szCs w:val="44"/>
              <w:lang w:val="en-US" w:eastAsia="zh-CN" w:bidi="ar-SA"/>
            </w:rPr>
            <w:instrText xml:space="preserve">TOC \o "1-2" \h \u </w:instrText>
          </w:r>
          <w:r>
            <w:rPr>
              <w:rFonts w:hint="eastAsia" w:ascii="黑体" w:hAnsi="黑体" w:eastAsia="黑体" w:cs="Times New Roman"/>
              <w:b/>
              <w:bCs w:val="0"/>
              <w:snapToGrid/>
              <w:color w:val="000000"/>
              <w:kern w:val="44"/>
              <w:sz w:val="32"/>
              <w:szCs w:val="44"/>
              <w:lang w:val="en-US" w:eastAsia="zh-CN" w:bidi="ar-SA"/>
            </w:rPr>
            <w:fldChar w:fldCharType="separate"/>
          </w: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_Toc18946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ascii="黑体" w:hAnsi="黑体" w:eastAsia="黑体" w:cs="黑体"/>
              <w:b/>
              <w:bCs/>
              <w:snapToGrid/>
              <w:color w:val="auto"/>
              <w:kern w:val="2"/>
              <w:szCs w:val="24"/>
              <w:highlight w:val="none"/>
              <w:lang w:val="en-US" w:eastAsia="zh-CN" w:bidi="ar-SA"/>
            </w:rPr>
            <w:t>第一章 发展基础</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_Toc18946 \h </w:instrText>
          </w:r>
          <w:r>
            <w:rPr>
              <w:rFonts w:hint="eastAsia" w:eastAsia="黑体" w:cs="黑体"/>
              <w:b/>
              <w:bCs/>
              <w:color w:val="auto"/>
              <w:highlight w:val="none"/>
            </w:rPr>
            <w:fldChar w:fldCharType="separate"/>
          </w:r>
          <w:r>
            <w:rPr>
              <w:rFonts w:hint="eastAsia" w:eastAsia="黑体" w:cs="黑体"/>
              <w:b/>
              <w:bCs/>
              <w:color w:val="auto"/>
              <w:highlight w:val="none"/>
            </w:rPr>
            <w:t>1</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58D3DF6B">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_Toc14160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ascii="仿宋_GB2312" w:hAnsi="仿宋_GB2312" w:eastAsia="仿宋_GB2312" w:cs="Times New Roman"/>
              <w:bCs w:val="0"/>
              <w:snapToGrid/>
              <w:color w:val="auto"/>
              <w:kern w:val="2"/>
              <w:szCs w:val="24"/>
              <w:highlight w:val="none"/>
              <w:lang w:val="en-US" w:eastAsia="zh-CN" w:bidi="ar-SA"/>
            </w:rPr>
            <w:t>一、发展成就</w:t>
          </w:r>
          <w:r>
            <w:rPr>
              <w:color w:val="auto"/>
              <w:highlight w:val="none"/>
            </w:rPr>
            <w:tab/>
          </w:r>
          <w:r>
            <w:rPr>
              <w:color w:val="auto"/>
              <w:highlight w:val="none"/>
            </w:rPr>
            <w:fldChar w:fldCharType="begin"/>
          </w:r>
          <w:r>
            <w:rPr>
              <w:color w:val="auto"/>
              <w:highlight w:val="none"/>
            </w:rPr>
            <w:instrText xml:space="preserve"> PAGEREF _Toc14160 \h </w:instrText>
          </w:r>
          <w:r>
            <w:rPr>
              <w:color w:val="auto"/>
              <w:highlight w:val="none"/>
            </w:rPr>
            <w:fldChar w:fldCharType="separate"/>
          </w:r>
          <w:r>
            <w:rPr>
              <w:color w:val="auto"/>
              <w:highlight w:val="none"/>
            </w:rPr>
            <w:t>1</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3C9DB82">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_Toc15651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ascii="仿宋_GB2312" w:hAnsi="仿宋_GB2312" w:eastAsia="仿宋_GB2312" w:cs="Times New Roman"/>
              <w:bCs w:val="0"/>
              <w:snapToGrid/>
              <w:color w:val="auto"/>
              <w:kern w:val="2"/>
              <w:szCs w:val="24"/>
              <w:highlight w:val="none"/>
              <w:lang w:val="en-US" w:eastAsia="zh-CN" w:bidi="ar-SA"/>
            </w:rPr>
            <w:t>二、发展问题</w:t>
          </w:r>
          <w:r>
            <w:rPr>
              <w:color w:val="auto"/>
              <w:highlight w:val="none"/>
            </w:rPr>
            <w:tab/>
          </w:r>
          <w:r>
            <w:rPr>
              <w:color w:val="auto"/>
              <w:highlight w:val="none"/>
            </w:rPr>
            <w:fldChar w:fldCharType="begin"/>
          </w:r>
          <w:r>
            <w:rPr>
              <w:color w:val="auto"/>
              <w:highlight w:val="none"/>
            </w:rPr>
            <w:instrText xml:space="preserve"> PAGEREF _Toc15651 \h </w:instrText>
          </w:r>
          <w:r>
            <w:rPr>
              <w:color w:val="auto"/>
              <w:highlight w:val="none"/>
            </w:rPr>
            <w:fldChar w:fldCharType="separate"/>
          </w:r>
          <w:r>
            <w:rPr>
              <w:color w:val="auto"/>
              <w:highlight w:val="none"/>
            </w:rPr>
            <w:t>5</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6B9AD03">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_Toc23651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ascii="仿宋_GB2312" w:hAnsi="仿宋_GB2312" w:eastAsia="仿宋_GB2312" w:cs="Times New Roman"/>
              <w:bCs w:val="0"/>
              <w:snapToGrid/>
              <w:color w:val="auto"/>
              <w:kern w:val="2"/>
              <w:szCs w:val="24"/>
              <w:highlight w:val="none"/>
              <w:lang w:val="en-US" w:eastAsia="zh-CN" w:bidi="ar-SA"/>
            </w:rPr>
            <w:t>三、发展形势</w:t>
          </w:r>
          <w:r>
            <w:rPr>
              <w:color w:val="auto"/>
              <w:highlight w:val="none"/>
            </w:rPr>
            <w:tab/>
          </w:r>
          <w:r>
            <w:rPr>
              <w:color w:val="auto"/>
              <w:highlight w:val="none"/>
            </w:rPr>
            <w:fldChar w:fldCharType="begin"/>
          </w:r>
          <w:r>
            <w:rPr>
              <w:color w:val="auto"/>
              <w:highlight w:val="none"/>
            </w:rPr>
            <w:instrText xml:space="preserve"> PAGEREF _Toc23651 \h </w:instrText>
          </w:r>
          <w:r>
            <w:rPr>
              <w:color w:val="auto"/>
              <w:highlight w:val="none"/>
            </w:rPr>
            <w:fldChar w:fldCharType="separate"/>
          </w:r>
          <w:r>
            <w:rPr>
              <w:color w:val="auto"/>
              <w:highlight w:val="none"/>
            </w:rPr>
            <w:t>5</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75B5E21C">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_Toc24238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第二章 总体要求</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_Toc24238 \h </w:instrText>
          </w:r>
          <w:r>
            <w:rPr>
              <w:rFonts w:hint="eastAsia" w:eastAsia="黑体" w:cs="黑体"/>
              <w:b/>
              <w:bCs/>
              <w:color w:val="auto"/>
              <w:highlight w:val="none"/>
            </w:rPr>
            <w:fldChar w:fldCharType="separate"/>
          </w:r>
          <w:r>
            <w:rPr>
              <w:rFonts w:hint="eastAsia" w:eastAsia="黑体" w:cs="黑体"/>
              <w:b/>
              <w:bCs/>
              <w:color w:val="auto"/>
              <w:highlight w:val="none"/>
            </w:rPr>
            <w:t>11</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13A5BEDB">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_Toc8472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rPr>
            <w:t>一、指导思想</w:t>
          </w:r>
          <w:r>
            <w:rPr>
              <w:color w:val="auto"/>
              <w:highlight w:val="none"/>
            </w:rPr>
            <w:tab/>
          </w:r>
          <w:r>
            <w:rPr>
              <w:color w:val="auto"/>
              <w:highlight w:val="none"/>
            </w:rPr>
            <w:fldChar w:fldCharType="begin"/>
          </w:r>
          <w:r>
            <w:rPr>
              <w:color w:val="auto"/>
              <w:highlight w:val="none"/>
            </w:rPr>
            <w:instrText xml:space="preserve"> PAGEREF _Toc8472 \h </w:instrText>
          </w:r>
          <w:r>
            <w:rPr>
              <w:color w:val="auto"/>
              <w:highlight w:val="none"/>
            </w:rPr>
            <w:fldChar w:fldCharType="separate"/>
          </w:r>
          <w:r>
            <w:rPr>
              <w:color w:val="auto"/>
              <w:highlight w:val="none"/>
            </w:rPr>
            <w:t>11</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E4E4380">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_Toc419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rPr>
            <w:t>二、基本原则</w:t>
          </w:r>
          <w:r>
            <w:rPr>
              <w:color w:val="auto"/>
              <w:highlight w:val="none"/>
            </w:rPr>
            <w:tab/>
          </w:r>
          <w:r>
            <w:rPr>
              <w:color w:val="auto"/>
              <w:highlight w:val="none"/>
            </w:rPr>
            <w:fldChar w:fldCharType="begin"/>
          </w:r>
          <w:r>
            <w:rPr>
              <w:color w:val="auto"/>
              <w:highlight w:val="none"/>
            </w:rPr>
            <w:instrText xml:space="preserve"> PAGEREF _Toc419 \h </w:instrText>
          </w:r>
          <w:r>
            <w:rPr>
              <w:color w:val="auto"/>
              <w:highlight w:val="none"/>
            </w:rPr>
            <w:fldChar w:fldCharType="separate"/>
          </w:r>
          <w:r>
            <w:rPr>
              <w:color w:val="auto"/>
              <w:highlight w:val="none"/>
            </w:rPr>
            <w:t>11</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59F26D5D">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_Toc7578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rPr>
            <w:t>三、发展目标</w:t>
          </w:r>
          <w:r>
            <w:rPr>
              <w:color w:val="auto"/>
              <w:highlight w:val="none"/>
            </w:rPr>
            <w:tab/>
          </w:r>
          <w:r>
            <w:rPr>
              <w:color w:val="auto"/>
              <w:highlight w:val="none"/>
            </w:rPr>
            <w:fldChar w:fldCharType="begin"/>
          </w:r>
          <w:r>
            <w:rPr>
              <w:color w:val="auto"/>
              <w:highlight w:val="none"/>
            </w:rPr>
            <w:instrText xml:space="preserve"> PAGEREF _Toc7578 \h </w:instrText>
          </w:r>
          <w:r>
            <w:rPr>
              <w:color w:val="auto"/>
              <w:highlight w:val="none"/>
            </w:rPr>
            <w:fldChar w:fldCharType="separate"/>
          </w:r>
          <w:r>
            <w:rPr>
              <w:color w:val="auto"/>
              <w:highlight w:val="none"/>
            </w:rPr>
            <w:t>13</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4CBC49F1">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_Toc12833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四</w:t>
          </w:r>
          <w:r>
            <w:rPr>
              <w:rFonts w:hint="default"/>
              <w:bCs w:val="0"/>
              <w:color w:val="auto"/>
              <w:highlight w:val="none"/>
            </w:rPr>
            <w:t>、空间布局</w:t>
          </w:r>
          <w:r>
            <w:rPr>
              <w:color w:val="auto"/>
              <w:highlight w:val="none"/>
            </w:rPr>
            <w:tab/>
          </w:r>
          <w:r>
            <w:rPr>
              <w:color w:val="auto"/>
              <w:highlight w:val="none"/>
            </w:rPr>
            <w:fldChar w:fldCharType="begin"/>
          </w:r>
          <w:r>
            <w:rPr>
              <w:color w:val="auto"/>
              <w:highlight w:val="none"/>
            </w:rPr>
            <w:instrText xml:space="preserve"> PAGEREF _Toc12833 \h </w:instrText>
          </w:r>
          <w:r>
            <w:rPr>
              <w:color w:val="auto"/>
              <w:highlight w:val="none"/>
            </w:rPr>
            <w:fldChar w:fldCharType="separate"/>
          </w:r>
          <w:r>
            <w:rPr>
              <w:color w:val="auto"/>
              <w:highlight w:val="none"/>
            </w:rPr>
            <w:t>14</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3B66F838">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_Toc6071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 xml:space="preserve">第三章 </w:t>
          </w:r>
          <w:r>
            <w:rPr>
              <w:rFonts w:hint="eastAsia" w:eastAsia="黑体" w:cs="黑体"/>
              <w:b/>
              <w:bCs/>
              <w:color w:val="auto"/>
              <w:szCs w:val="24"/>
              <w:highlight w:val="none"/>
              <w:lang w:val="en-US" w:eastAsia="zh-CN"/>
            </w:rPr>
            <w:t>深</w:t>
          </w:r>
          <w:r>
            <w:rPr>
              <w:rFonts w:hint="eastAsia" w:eastAsia="黑体" w:cs="黑体"/>
              <w:b/>
              <w:bCs/>
              <w:color w:val="auto"/>
              <w:szCs w:val="24"/>
              <w:highlight w:val="none"/>
            </w:rPr>
            <w:t>化旅游产品供给</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_Toc6071 \h </w:instrText>
          </w:r>
          <w:r>
            <w:rPr>
              <w:rFonts w:hint="eastAsia" w:eastAsia="黑体" w:cs="黑体"/>
              <w:b/>
              <w:bCs/>
              <w:color w:val="auto"/>
              <w:highlight w:val="none"/>
            </w:rPr>
            <w:fldChar w:fldCharType="separate"/>
          </w:r>
          <w:r>
            <w:rPr>
              <w:rFonts w:hint="eastAsia" w:eastAsia="黑体" w:cs="黑体"/>
              <w:b/>
              <w:bCs/>
              <w:color w:val="auto"/>
              <w:highlight w:val="none"/>
            </w:rPr>
            <w:t>17</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5CF6E2EB">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_Toc10277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一</w:t>
          </w:r>
          <w:r>
            <w:rPr>
              <w:rFonts w:hint="default"/>
              <w:bCs w:val="0"/>
              <w:color w:val="auto"/>
              <w:highlight w:val="none"/>
            </w:rPr>
            <w:t>、</w:t>
          </w:r>
          <w:r>
            <w:rPr>
              <w:rFonts w:hint="eastAsia"/>
              <w:bCs w:val="0"/>
              <w:color w:val="auto"/>
              <w:highlight w:val="none"/>
              <w:lang w:val="en-US" w:eastAsia="zh-CN"/>
            </w:rPr>
            <w:t>做强</w:t>
          </w:r>
          <w:r>
            <w:rPr>
              <w:rFonts w:hint="default"/>
              <w:bCs w:val="0"/>
              <w:color w:val="auto"/>
              <w:highlight w:val="none"/>
              <w:lang w:val="en-US" w:eastAsia="zh-CN"/>
            </w:rPr>
            <w:t>六</w:t>
          </w:r>
          <w:r>
            <w:rPr>
              <w:rFonts w:hint="default"/>
              <w:bCs w:val="0"/>
              <w:color w:val="auto"/>
              <w:highlight w:val="none"/>
            </w:rPr>
            <w:t>大主题</w:t>
          </w:r>
          <w:r>
            <w:rPr>
              <w:rFonts w:hint="default"/>
              <w:bCs w:val="0"/>
              <w:color w:val="auto"/>
              <w:highlight w:val="none"/>
              <w:lang w:val="en-US" w:eastAsia="zh-CN"/>
            </w:rPr>
            <w:t>旅游</w:t>
          </w:r>
          <w:r>
            <w:rPr>
              <w:rFonts w:hint="default"/>
              <w:bCs w:val="0"/>
              <w:color w:val="auto"/>
              <w:highlight w:val="none"/>
            </w:rPr>
            <w:t>产品</w:t>
          </w:r>
          <w:r>
            <w:rPr>
              <w:color w:val="auto"/>
              <w:highlight w:val="none"/>
            </w:rPr>
            <w:tab/>
          </w:r>
          <w:r>
            <w:rPr>
              <w:color w:val="auto"/>
              <w:highlight w:val="none"/>
            </w:rPr>
            <w:fldChar w:fldCharType="begin"/>
          </w:r>
          <w:r>
            <w:rPr>
              <w:color w:val="auto"/>
              <w:highlight w:val="none"/>
            </w:rPr>
            <w:instrText xml:space="preserve"> PAGEREF _Toc10277 \h </w:instrText>
          </w:r>
          <w:r>
            <w:rPr>
              <w:color w:val="auto"/>
              <w:highlight w:val="none"/>
            </w:rPr>
            <w:fldChar w:fldCharType="separate"/>
          </w:r>
          <w:r>
            <w:rPr>
              <w:color w:val="auto"/>
              <w:highlight w:val="none"/>
            </w:rPr>
            <w:t>17</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630C5399">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_Toc29501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二</w:t>
          </w:r>
          <w:r>
            <w:rPr>
              <w:rFonts w:hint="default"/>
              <w:bCs w:val="0"/>
              <w:color w:val="auto"/>
              <w:highlight w:val="none"/>
            </w:rPr>
            <w:t>、创新</w:t>
          </w:r>
          <w:r>
            <w:rPr>
              <w:rFonts w:hint="default"/>
              <w:bCs w:val="0"/>
              <w:color w:val="auto"/>
              <w:highlight w:val="none"/>
              <w:lang w:val="en-US" w:eastAsia="zh-CN"/>
            </w:rPr>
            <w:t>五</w:t>
          </w:r>
          <w:r>
            <w:rPr>
              <w:rFonts w:hint="default"/>
              <w:bCs w:val="0"/>
              <w:color w:val="auto"/>
              <w:highlight w:val="none"/>
            </w:rPr>
            <w:t>大文旅</w:t>
          </w:r>
          <w:r>
            <w:rPr>
              <w:rFonts w:hint="default"/>
              <w:bCs w:val="0"/>
              <w:color w:val="auto"/>
              <w:highlight w:val="none"/>
              <w:lang w:val="en-US" w:eastAsia="zh-CN"/>
            </w:rPr>
            <w:t>消费场景</w:t>
          </w:r>
          <w:r>
            <w:rPr>
              <w:color w:val="auto"/>
              <w:highlight w:val="none"/>
            </w:rPr>
            <w:tab/>
          </w:r>
          <w:r>
            <w:rPr>
              <w:color w:val="auto"/>
              <w:highlight w:val="none"/>
            </w:rPr>
            <w:fldChar w:fldCharType="begin"/>
          </w:r>
          <w:r>
            <w:rPr>
              <w:color w:val="auto"/>
              <w:highlight w:val="none"/>
            </w:rPr>
            <w:instrText xml:space="preserve"> PAGEREF _Toc29501 \h </w:instrText>
          </w:r>
          <w:r>
            <w:rPr>
              <w:color w:val="auto"/>
              <w:highlight w:val="none"/>
            </w:rPr>
            <w:fldChar w:fldCharType="separate"/>
          </w:r>
          <w:r>
            <w:rPr>
              <w:color w:val="auto"/>
              <w:highlight w:val="none"/>
            </w:rPr>
            <w:t>24</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1769CBBD">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_Toc7423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三、</w:t>
          </w:r>
          <w:r>
            <w:rPr>
              <w:rFonts w:hint="eastAsia"/>
              <w:bCs w:val="0"/>
              <w:color w:val="auto"/>
              <w:highlight w:val="none"/>
              <w:lang w:val="en-US" w:eastAsia="zh-CN"/>
            </w:rPr>
            <w:t>培育</w:t>
          </w:r>
          <w:r>
            <w:rPr>
              <w:rFonts w:hint="default"/>
              <w:bCs w:val="0"/>
              <w:color w:val="auto"/>
              <w:highlight w:val="none"/>
              <w:lang w:val="en-US" w:eastAsia="zh-CN"/>
            </w:rPr>
            <w:t>四类旅游目的地品牌</w:t>
          </w:r>
          <w:r>
            <w:rPr>
              <w:color w:val="auto"/>
              <w:highlight w:val="none"/>
            </w:rPr>
            <w:tab/>
          </w:r>
          <w:r>
            <w:rPr>
              <w:color w:val="auto"/>
              <w:highlight w:val="none"/>
            </w:rPr>
            <w:fldChar w:fldCharType="begin"/>
          </w:r>
          <w:r>
            <w:rPr>
              <w:color w:val="auto"/>
              <w:highlight w:val="none"/>
            </w:rPr>
            <w:instrText xml:space="preserve"> PAGEREF _Toc7423 \h </w:instrText>
          </w:r>
          <w:r>
            <w:rPr>
              <w:color w:val="auto"/>
              <w:highlight w:val="none"/>
            </w:rPr>
            <w:fldChar w:fldCharType="separate"/>
          </w:r>
          <w:r>
            <w:rPr>
              <w:color w:val="auto"/>
              <w:highlight w:val="none"/>
            </w:rPr>
            <w:t>26</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1E9F6B18">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_Toc15885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第四章 推动文化铸魂兴业</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_Toc15885 \h </w:instrText>
          </w:r>
          <w:r>
            <w:rPr>
              <w:rFonts w:hint="eastAsia" w:eastAsia="黑体" w:cs="黑体"/>
              <w:b/>
              <w:bCs/>
              <w:color w:val="auto"/>
              <w:highlight w:val="none"/>
            </w:rPr>
            <w:fldChar w:fldCharType="separate"/>
          </w:r>
          <w:r>
            <w:rPr>
              <w:rFonts w:hint="eastAsia" w:eastAsia="黑体" w:cs="黑体"/>
              <w:b/>
              <w:bCs/>
              <w:color w:val="auto"/>
              <w:highlight w:val="none"/>
            </w:rPr>
            <w:t>30</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73EC4E0E">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_Toc406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一、加强文化保护传承利用</w:t>
          </w:r>
          <w:r>
            <w:rPr>
              <w:color w:val="auto"/>
              <w:highlight w:val="none"/>
            </w:rPr>
            <w:tab/>
          </w:r>
          <w:r>
            <w:rPr>
              <w:color w:val="auto"/>
              <w:highlight w:val="none"/>
            </w:rPr>
            <w:fldChar w:fldCharType="begin"/>
          </w:r>
          <w:r>
            <w:rPr>
              <w:color w:val="auto"/>
              <w:highlight w:val="none"/>
            </w:rPr>
            <w:instrText xml:space="preserve"> PAGEREF _Toc406 \h </w:instrText>
          </w:r>
          <w:r>
            <w:rPr>
              <w:color w:val="auto"/>
              <w:highlight w:val="none"/>
            </w:rPr>
            <w:fldChar w:fldCharType="separate"/>
          </w:r>
          <w:r>
            <w:rPr>
              <w:color w:val="auto"/>
              <w:highlight w:val="none"/>
            </w:rPr>
            <w:t>30</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53079974">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_Toc32213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二、繁荣文化艺术精品舞台</w:t>
          </w:r>
          <w:r>
            <w:rPr>
              <w:color w:val="auto"/>
              <w:highlight w:val="none"/>
            </w:rPr>
            <w:tab/>
          </w:r>
          <w:r>
            <w:rPr>
              <w:color w:val="auto"/>
              <w:highlight w:val="none"/>
            </w:rPr>
            <w:fldChar w:fldCharType="begin"/>
          </w:r>
          <w:r>
            <w:rPr>
              <w:color w:val="auto"/>
              <w:highlight w:val="none"/>
            </w:rPr>
            <w:instrText xml:space="preserve"> PAGEREF _Toc32213 \h </w:instrText>
          </w:r>
          <w:r>
            <w:rPr>
              <w:color w:val="auto"/>
              <w:highlight w:val="none"/>
            </w:rPr>
            <w:fldChar w:fldCharType="separate"/>
          </w:r>
          <w:r>
            <w:rPr>
              <w:color w:val="auto"/>
              <w:highlight w:val="none"/>
            </w:rPr>
            <w:t>31</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FF56EFD">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_Toc17337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三、推动公共文化服务配套</w:t>
          </w:r>
          <w:r>
            <w:rPr>
              <w:color w:val="auto"/>
              <w:highlight w:val="none"/>
            </w:rPr>
            <w:tab/>
          </w:r>
          <w:r>
            <w:rPr>
              <w:color w:val="auto"/>
              <w:highlight w:val="none"/>
            </w:rPr>
            <w:fldChar w:fldCharType="begin"/>
          </w:r>
          <w:r>
            <w:rPr>
              <w:color w:val="auto"/>
              <w:highlight w:val="none"/>
            </w:rPr>
            <w:instrText xml:space="preserve"> PAGEREF _Toc17337 \h </w:instrText>
          </w:r>
          <w:r>
            <w:rPr>
              <w:color w:val="auto"/>
              <w:highlight w:val="none"/>
            </w:rPr>
            <w:fldChar w:fldCharType="separate"/>
          </w:r>
          <w:r>
            <w:rPr>
              <w:color w:val="auto"/>
              <w:highlight w:val="none"/>
            </w:rPr>
            <w:t>32</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F3AC56C">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_Toc21654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第五章 加快体育兴市惠民</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_Toc21654 \h </w:instrText>
          </w:r>
          <w:r>
            <w:rPr>
              <w:rFonts w:hint="eastAsia" w:eastAsia="黑体" w:cs="黑体"/>
              <w:b/>
              <w:bCs/>
              <w:color w:val="auto"/>
              <w:highlight w:val="none"/>
            </w:rPr>
            <w:fldChar w:fldCharType="separate"/>
          </w:r>
          <w:r>
            <w:rPr>
              <w:rFonts w:hint="eastAsia" w:eastAsia="黑体" w:cs="黑体"/>
              <w:b/>
              <w:bCs/>
              <w:color w:val="auto"/>
              <w:highlight w:val="none"/>
            </w:rPr>
            <w:t>34</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305618F7">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_Toc783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color w:val="auto"/>
              <w:highlight w:val="none"/>
            </w:rPr>
            <w:t>一、</w:t>
          </w:r>
          <w:r>
            <w:rPr>
              <w:color w:val="auto"/>
              <w:highlight w:val="none"/>
            </w:rPr>
            <w:t>完善全民健身</w:t>
          </w:r>
          <w:r>
            <w:rPr>
              <w:rFonts w:hint="default"/>
              <w:color w:val="auto"/>
              <w:highlight w:val="none"/>
            </w:rPr>
            <w:t>公服设施</w:t>
          </w:r>
          <w:r>
            <w:rPr>
              <w:color w:val="auto"/>
              <w:highlight w:val="none"/>
            </w:rPr>
            <w:tab/>
          </w:r>
          <w:r>
            <w:rPr>
              <w:color w:val="auto"/>
              <w:highlight w:val="none"/>
            </w:rPr>
            <w:fldChar w:fldCharType="begin"/>
          </w:r>
          <w:r>
            <w:rPr>
              <w:color w:val="auto"/>
              <w:highlight w:val="none"/>
            </w:rPr>
            <w:instrText xml:space="preserve"> PAGEREF _Toc783 \h </w:instrText>
          </w:r>
          <w:r>
            <w:rPr>
              <w:color w:val="auto"/>
              <w:highlight w:val="none"/>
            </w:rPr>
            <w:fldChar w:fldCharType="separate"/>
          </w:r>
          <w:r>
            <w:rPr>
              <w:color w:val="auto"/>
              <w:highlight w:val="none"/>
            </w:rPr>
            <w:t>34</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57C5D653">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_Toc31330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color w:val="auto"/>
              <w:highlight w:val="none"/>
            </w:rPr>
            <w:t>二、</w:t>
          </w:r>
          <w:r>
            <w:rPr>
              <w:color w:val="auto"/>
              <w:highlight w:val="none"/>
            </w:rPr>
            <w:t>增强体育产业发展动能</w:t>
          </w:r>
          <w:r>
            <w:rPr>
              <w:color w:val="auto"/>
              <w:highlight w:val="none"/>
            </w:rPr>
            <w:tab/>
          </w:r>
          <w:r>
            <w:rPr>
              <w:color w:val="auto"/>
              <w:highlight w:val="none"/>
            </w:rPr>
            <w:fldChar w:fldCharType="begin"/>
          </w:r>
          <w:r>
            <w:rPr>
              <w:color w:val="auto"/>
              <w:highlight w:val="none"/>
            </w:rPr>
            <w:instrText xml:space="preserve"> PAGEREF _Toc31330 \h </w:instrText>
          </w:r>
          <w:r>
            <w:rPr>
              <w:color w:val="auto"/>
              <w:highlight w:val="none"/>
            </w:rPr>
            <w:fldChar w:fldCharType="separate"/>
          </w:r>
          <w:r>
            <w:rPr>
              <w:color w:val="auto"/>
              <w:highlight w:val="none"/>
            </w:rPr>
            <w:t>35</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6DC8E8A5">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_Toc23137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color w:val="auto"/>
              <w:highlight w:val="none"/>
            </w:rPr>
            <w:t>三、</w:t>
          </w:r>
          <w:r>
            <w:rPr>
              <w:color w:val="auto"/>
              <w:highlight w:val="none"/>
            </w:rPr>
            <w:t>建设国际</w:t>
          </w:r>
          <w:r>
            <w:rPr>
              <w:rFonts w:hint="default"/>
              <w:color w:val="auto"/>
              <w:highlight w:val="none"/>
            </w:rPr>
            <w:t>体育</w:t>
          </w:r>
          <w:r>
            <w:rPr>
              <w:color w:val="auto"/>
              <w:highlight w:val="none"/>
            </w:rPr>
            <w:t>赛事</w:t>
          </w:r>
          <w:r>
            <w:rPr>
              <w:rFonts w:hint="default"/>
              <w:color w:val="auto"/>
              <w:highlight w:val="none"/>
            </w:rPr>
            <w:t>名城</w:t>
          </w:r>
          <w:r>
            <w:rPr>
              <w:color w:val="auto"/>
              <w:highlight w:val="none"/>
            </w:rPr>
            <w:tab/>
          </w:r>
          <w:r>
            <w:rPr>
              <w:color w:val="auto"/>
              <w:highlight w:val="none"/>
            </w:rPr>
            <w:fldChar w:fldCharType="begin"/>
          </w:r>
          <w:r>
            <w:rPr>
              <w:color w:val="auto"/>
              <w:highlight w:val="none"/>
            </w:rPr>
            <w:instrText xml:space="preserve"> PAGEREF _Toc23137 \h </w:instrText>
          </w:r>
          <w:r>
            <w:rPr>
              <w:color w:val="auto"/>
              <w:highlight w:val="none"/>
            </w:rPr>
            <w:fldChar w:fldCharType="separate"/>
          </w:r>
          <w:r>
            <w:rPr>
              <w:color w:val="auto"/>
              <w:highlight w:val="none"/>
            </w:rPr>
            <w:t>35</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9FC1D01">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_Toc15856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w:t>
          </w:r>
          <w:r>
            <w:rPr>
              <w:rFonts w:hint="eastAsia" w:eastAsia="黑体" w:cs="黑体"/>
              <w:b/>
              <w:bCs/>
              <w:color w:val="auto"/>
              <w:szCs w:val="24"/>
              <w:highlight w:val="none"/>
              <w:lang w:val="en-US" w:eastAsia="zh-CN"/>
            </w:rPr>
            <w:t>六</w:t>
          </w:r>
          <w:r>
            <w:rPr>
              <w:rFonts w:hint="eastAsia" w:eastAsia="黑体" w:cs="黑体"/>
              <w:b/>
              <w:bCs/>
              <w:color w:val="auto"/>
              <w:szCs w:val="24"/>
              <w:highlight w:val="none"/>
            </w:rPr>
            <w:t xml:space="preserve">章 </w:t>
          </w:r>
          <w:r>
            <w:rPr>
              <w:rFonts w:hint="eastAsia" w:eastAsia="黑体" w:cs="黑体"/>
              <w:b/>
              <w:bCs/>
              <w:color w:val="auto"/>
              <w:szCs w:val="24"/>
              <w:highlight w:val="none"/>
              <w:lang w:val="en-US" w:eastAsia="zh-CN"/>
            </w:rPr>
            <w:t>促进</w:t>
          </w:r>
          <w:r>
            <w:rPr>
              <w:rFonts w:hint="eastAsia" w:eastAsia="黑体" w:cs="黑体"/>
              <w:b/>
              <w:bCs/>
              <w:color w:val="auto"/>
              <w:szCs w:val="24"/>
              <w:highlight w:val="none"/>
            </w:rPr>
            <w:t>旅游服务</w:t>
          </w:r>
          <w:r>
            <w:rPr>
              <w:rFonts w:hint="eastAsia" w:eastAsia="黑体" w:cs="黑体"/>
              <w:b/>
              <w:bCs/>
              <w:color w:val="auto"/>
              <w:szCs w:val="24"/>
              <w:highlight w:val="none"/>
              <w:lang w:val="en-US" w:eastAsia="zh-CN"/>
            </w:rPr>
            <w:t>升级</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_Toc15856 \h </w:instrText>
          </w:r>
          <w:r>
            <w:rPr>
              <w:rFonts w:hint="eastAsia" w:eastAsia="黑体" w:cs="黑体"/>
              <w:b/>
              <w:bCs/>
              <w:color w:val="auto"/>
              <w:highlight w:val="none"/>
            </w:rPr>
            <w:fldChar w:fldCharType="separate"/>
          </w:r>
          <w:r>
            <w:rPr>
              <w:rFonts w:hint="eastAsia" w:eastAsia="黑体" w:cs="黑体"/>
              <w:b/>
              <w:bCs/>
              <w:color w:val="auto"/>
              <w:highlight w:val="none"/>
            </w:rPr>
            <w:t>37</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64284C25">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_Toc18512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一、强化服务要素供给</w:t>
          </w:r>
          <w:r>
            <w:rPr>
              <w:color w:val="auto"/>
              <w:highlight w:val="none"/>
            </w:rPr>
            <w:tab/>
          </w:r>
          <w:r>
            <w:rPr>
              <w:color w:val="auto"/>
              <w:highlight w:val="none"/>
            </w:rPr>
            <w:fldChar w:fldCharType="begin"/>
          </w:r>
          <w:r>
            <w:rPr>
              <w:color w:val="auto"/>
              <w:highlight w:val="none"/>
            </w:rPr>
            <w:instrText xml:space="preserve"> PAGEREF _Toc18512 \h </w:instrText>
          </w:r>
          <w:r>
            <w:rPr>
              <w:color w:val="auto"/>
              <w:highlight w:val="none"/>
            </w:rPr>
            <w:fldChar w:fldCharType="separate"/>
          </w:r>
          <w:r>
            <w:rPr>
              <w:color w:val="auto"/>
              <w:highlight w:val="none"/>
            </w:rPr>
            <w:t>37</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1481967D">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_Toc2813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二、提升旅游服务设施</w:t>
          </w:r>
          <w:r>
            <w:rPr>
              <w:color w:val="auto"/>
              <w:highlight w:val="none"/>
            </w:rPr>
            <w:tab/>
          </w:r>
          <w:r>
            <w:rPr>
              <w:color w:val="auto"/>
              <w:highlight w:val="none"/>
            </w:rPr>
            <w:fldChar w:fldCharType="begin"/>
          </w:r>
          <w:r>
            <w:rPr>
              <w:color w:val="auto"/>
              <w:highlight w:val="none"/>
            </w:rPr>
            <w:instrText xml:space="preserve"> PAGEREF _Toc2813 \h </w:instrText>
          </w:r>
          <w:r>
            <w:rPr>
              <w:color w:val="auto"/>
              <w:highlight w:val="none"/>
            </w:rPr>
            <w:fldChar w:fldCharType="separate"/>
          </w:r>
          <w:r>
            <w:rPr>
              <w:color w:val="auto"/>
              <w:highlight w:val="none"/>
            </w:rPr>
            <w:t>42</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799045B">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_Toc23229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w:t>
          </w:r>
          <w:r>
            <w:rPr>
              <w:rFonts w:hint="eastAsia" w:eastAsia="黑体" w:cs="黑体"/>
              <w:b/>
              <w:bCs/>
              <w:color w:val="auto"/>
              <w:szCs w:val="24"/>
              <w:highlight w:val="none"/>
              <w:lang w:val="en-US" w:eastAsia="zh-CN"/>
            </w:rPr>
            <w:t>七</w:t>
          </w:r>
          <w:r>
            <w:rPr>
              <w:rFonts w:hint="eastAsia" w:eastAsia="黑体" w:cs="黑体"/>
              <w:b/>
              <w:bCs/>
              <w:color w:val="auto"/>
              <w:szCs w:val="24"/>
              <w:highlight w:val="none"/>
            </w:rPr>
            <w:t xml:space="preserve">章 </w:t>
          </w:r>
          <w:r>
            <w:rPr>
              <w:rFonts w:hint="eastAsia" w:eastAsia="黑体" w:cs="黑体"/>
              <w:b/>
              <w:bCs/>
              <w:color w:val="auto"/>
              <w:szCs w:val="24"/>
              <w:highlight w:val="none"/>
              <w:lang w:val="en-US" w:eastAsia="zh-CN"/>
            </w:rPr>
            <w:t>强化旅游品牌营销推广</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_Toc23229 \h </w:instrText>
          </w:r>
          <w:r>
            <w:rPr>
              <w:rFonts w:hint="eastAsia" w:eastAsia="黑体" w:cs="黑体"/>
              <w:b/>
              <w:bCs/>
              <w:color w:val="auto"/>
              <w:highlight w:val="none"/>
            </w:rPr>
            <w:fldChar w:fldCharType="separate"/>
          </w:r>
          <w:r>
            <w:rPr>
              <w:rFonts w:hint="eastAsia" w:eastAsia="黑体" w:cs="黑体"/>
              <w:b/>
              <w:bCs/>
              <w:color w:val="auto"/>
              <w:highlight w:val="none"/>
            </w:rPr>
            <w:t>45</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5C8C2910">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_Toc11415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一、构建整体旅游品牌</w:t>
          </w:r>
          <w:r>
            <w:rPr>
              <w:color w:val="auto"/>
              <w:highlight w:val="none"/>
            </w:rPr>
            <w:tab/>
          </w:r>
          <w:r>
            <w:rPr>
              <w:color w:val="auto"/>
              <w:highlight w:val="none"/>
            </w:rPr>
            <w:fldChar w:fldCharType="begin"/>
          </w:r>
          <w:r>
            <w:rPr>
              <w:color w:val="auto"/>
              <w:highlight w:val="none"/>
            </w:rPr>
            <w:instrText xml:space="preserve"> PAGEREF _Toc11415 \h </w:instrText>
          </w:r>
          <w:r>
            <w:rPr>
              <w:color w:val="auto"/>
              <w:highlight w:val="none"/>
            </w:rPr>
            <w:fldChar w:fldCharType="separate"/>
          </w:r>
          <w:r>
            <w:rPr>
              <w:color w:val="auto"/>
              <w:highlight w:val="none"/>
            </w:rPr>
            <w:t>45</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906F264">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_Toc6762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二、强化宣传营销引流</w:t>
          </w:r>
          <w:r>
            <w:rPr>
              <w:color w:val="auto"/>
              <w:highlight w:val="none"/>
            </w:rPr>
            <w:tab/>
          </w:r>
          <w:r>
            <w:rPr>
              <w:color w:val="auto"/>
              <w:highlight w:val="none"/>
            </w:rPr>
            <w:fldChar w:fldCharType="begin"/>
          </w:r>
          <w:r>
            <w:rPr>
              <w:color w:val="auto"/>
              <w:highlight w:val="none"/>
            </w:rPr>
            <w:instrText xml:space="preserve"> PAGEREF _Toc6762 \h </w:instrText>
          </w:r>
          <w:r>
            <w:rPr>
              <w:color w:val="auto"/>
              <w:highlight w:val="none"/>
            </w:rPr>
            <w:fldChar w:fldCharType="separate"/>
          </w:r>
          <w:r>
            <w:rPr>
              <w:color w:val="auto"/>
              <w:highlight w:val="none"/>
            </w:rPr>
            <w:t>45</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EAC21CC">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_Toc29372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三、创新精准营销策略</w:t>
          </w:r>
          <w:r>
            <w:rPr>
              <w:color w:val="auto"/>
              <w:highlight w:val="none"/>
            </w:rPr>
            <w:tab/>
          </w:r>
          <w:r>
            <w:rPr>
              <w:color w:val="auto"/>
              <w:highlight w:val="none"/>
            </w:rPr>
            <w:fldChar w:fldCharType="begin"/>
          </w:r>
          <w:r>
            <w:rPr>
              <w:color w:val="auto"/>
              <w:highlight w:val="none"/>
            </w:rPr>
            <w:instrText xml:space="preserve"> PAGEREF _Toc29372 \h </w:instrText>
          </w:r>
          <w:r>
            <w:rPr>
              <w:color w:val="auto"/>
              <w:highlight w:val="none"/>
            </w:rPr>
            <w:fldChar w:fldCharType="separate"/>
          </w:r>
          <w:r>
            <w:rPr>
              <w:color w:val="auto"/>
              <w:highlight w:val="none"/>
            </w:rPr>
            <w:t>46</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6A5FC1B">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_Toc24730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四、跨区域文旅协同发展</w:t>
          </w:r>
          <w:r>
            <w:rPr>
              <w:color w:val="auto"/>
              <w:highlight w:val="none"/>
            </w:rPr>
            <w:tab/>
          </w:r>
          <w:r>
            <w:rPr>
              <w:color w:val="auto"/>
              <w:highlight w:val="none"/>
            </w:rPr>
            <w:fldChar w:fldCharType="begin"/>
          </w:r>
          <w:r>
            <w:rPr>
              <w:color w:val="auto"/>
              <w:highlight w:val="none"/>
            </w:rPr>
            <w:instrText xml:space="preserve"> PAGEREF _Toc24730 \h </w:instrText>
          </w:r>
          <w:r>
            <w:rPr>
              <w:color w:val="auto"/>
              <w:highlight w:val="none"/>
            </w:rPr>
            <w:fldChar w:fldCharType="separate"/>
          </w:r>
          <w:r>
            <w:rPr>
              <w:color w:val="auto"/>
              <w:highlight w:val="none"/>
            </w:rPr>
            <w:t>46</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6F71DB22">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_Toc24052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第八章 推进行业治理现代化</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_Toc24052 \h </w:instrText>
          </w:r>
          <w:r>
            <w:rPr>
              <w:rFonts w:hint="eastAsia" w:eastAsia="黑体" w:cs="黑体"/>
              <w:b/>
              <w:bCs/>
              <w:color w:val="auto"/>
              <w:highlight w:val="none"/>
            </w:rPr>
            <w:fldChar w:fldCharType="separate"/>
          </w:r>
          <w:r>
            <w:rPr>
              <w:rFonts w:hint="eastAsia" w:eastAsia="黑体" w:cs="黑体"/>
              <w:b/>
              <w:bCs/>
              <w:color w:val="auto"/>
              <w:highlight w:val="none"/>
            </w:rPr>
            <w:t>48</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03E8E89C">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_Toc20155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一、构建一流营商环境</w:t>
          </w:r>
          <w:r>
            <w:rPr>
              <w:color w:val="auto"/>
              <w:highlight w:val="none"/>
            </w:rPr>
            <w:tab/>
          </w:r>
          <w:r>
            <w:rPr>
              <w:color w:val="auto"/>
              <w:highlight w:val="none"/>
            </w:rPr>
            <w:fldChar w:fldCharType="begin"/>
          </w:r>
          <w:r>
            <w:rPr>
              <w:color w:val="auto"/>
              <w:highlight w:val="none"/>
            </w:rPr>
            <w:instrText xml:space="preserve"> PAGEREF _Toc20155 \h </w:instrText>
          </w:r>
          <w:r>
            <w:rPr>
              <w:color w:val="auto"/>
              <w:highlight w:val="none"/>
            </w:rPr>
            <w:fldChar w:fldCharType="separate"/>
          </w:r>
          <w:r>
            <w:rPr>
              <w:color w:val="auto"/>
              <w:highlight w:val="none"/>
            </w:rPr>
            <w:t>48</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1D521ED">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_Toc18646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二、净化优化消费环境</w:t>
          </w:r>
          <w:r>
            <w:rPr>
              <w:color w:val="auto"/>
              <w:highlight w:val="none"/>
            </w:rPr>
            <w:tab/>
          </w:r>
          <w:r>
            <w:rPr>
              <w:color w:val="auto"/>
              <w:highlight w:val="none"/>
            </w:rPr>
            <w:fldChar w:fldCharType="begin"/>
          </w:r>
          <w:r>
            <w:rPr>
              <w:color w:val="auto"/>
              <w:highlight w:val="none"/>
            </w:rPr>
            <w:instrText xml:space="preserve"> PAGEREF _Toc18646 \h </w:instrText>
          </w:r>
          <w:r>
            <w:rPr>
              <w:color w:val="auto"/>
              <w:highlight w:val="none"/>
            </w:rPr>
            <w:fldChar w:fldCharType="separate"/>
          </w:r>
          <w:r>
            <w:rPr>
              <w:color w:val="auto"/>
              <w:highlight w:val="none"/>
            </w:rPr>
            <w:t>48</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372F0A91">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_Toc8290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三、协同多元行业治理</w:t>
          </w:r>
          <w:r>
            <w:rPr>
              <w:color w:val="auto"/>
              <w:highlight w:val="none"/>
            </w:rPr>
            <w:tab/>
          </w:r>
          <w:r>
            <w:rPr>
              <w:color w:val="auto"/>
              <w:highlight w:val="none"/>
            </w:rPr>
            <w:fldChar w:fldCharType="begin"/>
          </w:r>
          <w:r>
            <w:rPr>
              <w:color w:val="auto"/>
              <w:highlight w:val="none"/>
            </w:rPr>
            <w:instrText xml:space="preserve"> PAGEREF _Toc8290 \h </w:instrText>
          </w:r>
          <w:r>
            <w:rPr>
              <w:color w:val="auto"/>
              <w:highlight w:val="none"/>
            </w:rPr>
            <w:fldChar w:fldCharType="separate"/>
          </w:r>
          <w:r>
            <w:rPr>
              <w:color w:val="auto"/>
              <w:highlight w:val="none"/>
            </w:rPr>
            <w:t>50</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249A1C4">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_Toc1686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eastAsia="zh-CN"/>
            </w:rPr>
            <w:t>四、</w:t>
          </w:r>
          <w:r>
            <w:rPr>
              <w:rFonts w:hint="default" w:eastAsia="仿宋_GB2312"/>
              <w:bCs w:val="0"/>
              <w:color w:val="auto"/>
              <w:highlight w:val="none"/>
            </w:rPr>
            <w:t>推进行业文明建设</w:t>
          </w:r>
          <w:r>
            <w:rPr>
              <w:color w:val="auto"/>
              <w:highlight w:val="none"/>
            </w:rPr>
            <w:tab/>
          </w:r>
          <w:r>
            <w:rPr>
              <w:color w:val="auto"/>
              <w:highlight w:val="none"/>
            </w:rPr>
            <w:fldChar w:fldCharType="begin"/>
          </w:r>
          <w:r>
            <w:rPr>
              <w:color w:val="auto"/>
              <w:highlight w:val="none"/>
            </w:rPr>
            <w:instrText xml:space="preserve"> PAGEREF _Toc1686 \h </w:instrText>
          </w:r>
          <w:r>
            <w:rPr>
              <w:color w:val="auto"/>
              <w:highlight w:val="none"/>
            </w:rPr>
            <w:fldChar w:fldCharType="separate"/>
          </w:r>
          <w:r>
            <w:rPr>
              <w:color w:val="auto"/>
              <w:highlight w:val="none"/>
            </w:rPr>
            <w:t>51</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69353D03">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_Toc4639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rPr>
            <w:t>第九章 保障措施</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_Toc4639 \h </w:instrText>
          </w:r>
          <w:r>
            <w:rPr>
              <w:rFonts w:hint="eastAsia" w:eastAsia="黑体" w:cs="黑体"/>
              <w:b/>
              <w:bCs/>
              <w:color w:val="auto"/>
              <w:highlight w:val="none"/>
            </w:rPr>
            <w:fldChar w:fldCharType="separate"/>
          </w:r>
          <w:r>
            <w:rPr>
              <w:rFonts w:hint="eastAsia" w:eastAsia="黑体" w:cs="黑体"/>
              <w:b/>
              <w:bCs/>
              <w:color w:val="auto"/>
              <w:highlight w:val="none"/>
            </w:rPr>
            <w:t>52</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0BA4DBAE">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_Toc26375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一、完善体制机制</w:t>
          </w:r>
          <w:r>
            <w:rPr>
              <w:color w:val="auto"/>
              <w:highlight w:val="none"/>
            </w:rPr>
            <w:tab/>
          </w:r>
          <w:r>
            <w:rPr>
              <w:color w:val="auto"/>
              <w:highlight w:val="none"/>
            </w:rPr>
            <w:fldChar w:fldCharType="begin"/>
          </w:r>
          <w:r>
            <w:rPr>
              <w:color w:val="auto"/>
              <w:highlight w:val="none"/>
            </w:rPr>
            <w:instrText xml:space="preserve"> PAGEREF _Toc26375 \h </w:instrText>
          </w:r>
          <w:r>
            <w:rPr>
              <w:color w:val="auto"/>
              <w:highlight w:val="none"/>
            </w:rPr>
            <w:fldChar w:fldCharType="separate"/>
          </w:r>
          <w:r>
            <w:rPr>
              <w:color w:val="auto"/>
              <w:highlight w:val="none"/>
            </w:rPr>
            <w:t>52</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0ACB89D8">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_Toc11249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二、加强安全保障</w:t>
          </w:r>
          <w:r>
            <w:rPr>
              <w:color w:val="auto"/>
              <w:highlight w:val="none"/>
            </w:rPr>
            <w:tab/>
          </w:r>
          <w:r>
            <w:rPr>
              <w:color w:val="auto"/>
              <w:highlight w:val="none"/>
            </w:rPr>
            <w:fldChar w:fldCharType="begin"/>
          </w:r>
          <w:r>
            <w:rPr>
              <w:color w:val="auto"/>
              <w:highlight w:val="none"/>
            </w:rPr>
            <w:instrText xml:space="preserve"> PAGEREF _Toc11249 \h </w:instrText>
          </w:r>
          <w:r>
            <w:rPr>
              <w:color w:val="auto"/>
              <w:highlight w:val="none"/>
            </w:rPr>
            <w:fldChar w:fldCharType="separate"/>
          </w:r>
          <w:r>
            <w:rPr>
              <w:color w:val="auto"/>
              <w:highlight w:val="none"/>
            </w:rPr>
            <w:t>52</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09FA6FF">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_Toc21439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三、拓展资金保障</w:t>
          </w:r>
          <w:r>
            <w:rPr>
              <w:color w:val="auto"/>
              <w:highlight w:val="none"/>
            </w:rPr>
            <w:tab/>
          </w:r>
          <w:r>
            <w:rPr>
              <w:color w:val="auto"/>
              <w:highlight w:val="none"/>
            </w:rPr>
            <w:fldChar w:fldCharType="begin"/>
          </w:r>
          <w:r>
            <w:rPr>
              <w:color w:val="auto"/>
              <w:highlight w:val="none"/>
            </w:rPr>
            <w:instrText xml:space="preserve"> PAGEREF _Toc21439 \h </w:instrText>
          </w:r>
          <w:r>
            <w:rPr>
              <w:color w:val="auto"/>
              <w:highlight w:val="none"/>
            </w:rPr>
            <w:fldChar w:fldCharType="separate"/>
          </w:r>
          <w:r>
            <w:rPr>
              <w:color w:val="auto"/>
              <w:highlight w:val="none"/>
            </w:rPr>
            <w:t>53</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4AA1556F">
          <w:pPr>
            <w:pStyle w:val="6"/>
            <w:tabs>
              <w:tab w:val="right" w:leader="dot" w:pos="8306"/>
            </w:tabs>
            <w:ind w:left="640" w:firstLine="0" w:firstLineChars="0"/>
            <w:rPr>
              <w:color w:val="auto"/>
              <w:highlight w:val="none"/>
            </w:rPr>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_Toc29797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四、用地用海用空</w:t>
          </w:r>
          <w:r>
            <w:rPr>
              <w:color w:val="auto"/>
              <w:highlight w:val="none"/>
            </w:rPr>
            <w:tab/>
          </w:r>
          <w:r>
            <w:rPr>
              <w:color w:val="auto"/>
              <w:highlight w:val="none"/>
            </w:rPr>
            <w:fldChar w:fldCharType="begin"/>
          </w:r>
          <w:r>
            <w:rPr>
              <w:color w:val="auto"/>
              <w:highlight w:val="none"/>
            </w:rPr>
            <w:instrText xml:space="preserve"> PAGEREF _Toc29797 \h </w:instrText>
          </w:r>
          <w:r>
            <w:rPr>
              <w:color w:val="auto"/>
              <w:highlight w:val="none"/>
            </w:rPr>
            <w:fldChar w:fldCharType="separate"/>
          </w:r>
          <w:r>
            <w:rPr>
              <w:color w:val="auto"/>
              <w:highlight w:val="none"/>
            </w:rPr>
            <w:t>53</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183A16E7">
          <w:pPr>
            <w:pStyle w:val="6"/>
            <w:tabs>
              <w:tab w:val="right" w:leader="dot" w:pos="8306"/>
            </w:tabs>
            <w:ind w:left="640" w:firstLine="0" w:firstLineChars="0"/>
          </w:pPr>
          <w:r>
            <w:rPr>
              <w:rFonts w:hint="default" w:ascii="仿宋_GB2312" w:hAnsi="仿宋_GB2312" w:eastAsia="仿宋_GB2312" w:cs="Times New Roman"/>
              <w:bCs w:val="0"/>
              <w:snapToGrid/>
              <w:color w:val="auto"/>
              <w:kern w:val="2"/>
              <w:szCs w:val="24"/>
              <w:highlight w:val="none"/>
              <w:lang w:val="en-US" w:eastAsia="zh-CN" w:bidi="ar-SA"/>
            </w:rPr>
            <w:fldChar w:fldCharType="begin"/>
          </w:r>
          <w:r>
            <w:rPr>
              <w:rFonts w:hint="default" w:ascii="仿宋_GB2312" w:hAnsi="仿宋_GB2312" w:eastAsia="仿宋_GB2312" w:cs="Times New Roman"/>
              <w:bCs w:val="0"/>
              <w:snapToGrid/>
              <w:color w:val="auto"/>
              <w:kern w:val="2"/>
              <w:szCs w:val="24"/>
              <w:highlight w:val="none"/>
              <w:lang w:val="en-US" w:eastAsia="zh-CN" w:bidi="ar-SA"/>
            </w:rPr>
            <w:instrText xml:space="preserve"> HYPERLINK \l _Toc5942 </w:instrText>
          </w:r>
          <w:r>
            <w:rPr>
              <w:rFonts w:hint="default" w:ascii="仿宋_GB2312" w:hAnsi="仿宋_GB2312" w:eastAsia="仿宋_GB2312" w:cs="Times New Roman"/>
              <w:bCs w:val="0"/>
              <w:snapToGrid/>
              <w:color w:val="auto"/>
              <w:kern w:val="2"/>
              <w:szCs w:val="24"/>
              <w:highlight w:val="none"/>
              <w:lang w:val="en-US" w:eastAsia="zh-CN" w:bidi="ar-SA"/>
            </w:rPr>
            <w:fldChar w:fldCharType="separate"/>
          </w:r>
          <w:r>
            <w:rPr>
              <w:rFonts w:hint="default"/>
              <w:bCs w:val="0"/>
              <w:color w:val="auto"/>
              <w:highlight w:val="none"/>
              <w:lang w:val="en-US" w:eastAsia="zh-CN"/>
            </w:rPr>
            <w:t>五、强化人才保障</w:t>
          </w:r>
          <w:r>
            <w:rPr>
              <w:color w:val="auto"/>
              <w:highlight w:val="none"/>
            </w:rPr>
            <w:tab/>
          </w:r>
          <w:r>
            <w:rPr>
              <w:color w:val="auto"/>
              <w:highlight w:val="none"/>
            </w:rPr>
            <w:fldChar w:fldCharType="begin"/>
          </w:r>
          <w:r>
            <w:rPr>
              <w:color w:val="auto"/>
              <w:highlight w:val="none"/>
            </w:rPr>
            <w:instrText xml:space="preserve"> PAGEREF _Toc5942 \h </w:instrText>
          </w:r>
          <w:r>
            <w:rPr>
              <w:color w:val="auto"/>
              <w:highlight w:val="none"/>
            </w:rPr>
            <w:fldChar w:fldCharType="separate"/>
          </w:r>
          <w:r>
            <w:rPr>
              <w:color w:val="auto"/>
              <w:highlight w:val="none"/>
            </w:rPr>
            <w:t>54</w:t>
          </w:r>
          <w:r>
            <w:rPr>
              <w:color w:val="auto"/>
              <w:highlight w:val="none"/>
            </w:rPr>
            <w:fldChar w:fldCharType="end"/>
          </w:r>
          <w:r>
            <w:rPr>
              <w:rFonts w:hint="default" w:ascii="仿宋_GB2312" w:hAnsi="仿宋_GB2312" w:eastAsia="仿宋_GB2312" w:cs="Times New Roman"/>
              <w:bCs w:val="0"/>
              <w:snapToGrid/>
              <w:color w:val="auto"/>
              <w:kern w:val="2"/>
              <w:szCs w:val="24"/>
              <w:highlight w:val="none"/>
              <w:lang w:val="en-US" w:eastAsia="zh-CN" w:bidi="ar-SA"/>
            </w:rPr>
            <w:fldChar w:fldCharType="end"/>
          </w:r>
        </w:p>
        <w:p w14:paraId="25F5B085">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_Toc31141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lang w:val="en-US" w:eastAsia="zh-CN"/>
            </w:rPr>
            <w:t>附表1</w:t>
          </w:r>
          <w:r>
            <w:rPr>
              <w:rFonts w:hint="eastAsia" w:eastAsia="黑体" w:cs="黑体"/>
              <w:b/>
              <w:bCs/>
              <w:color w:val="auto"/>
              <w:highlight w:val="none"/>
              <w:lang w:eastAsia="zh-CN"/>
            </w:rPr>
            <w:t>：</w:t>
          </w:r>
          <w:r>
            <w:rPr>
              <w:rFonts w:hint="eastAsia" w:ascii="黑体" w:hAnsi="黑体" w:eastAsia="黑体" w:cs="黑体"/>
              <w:b/>
              <w:bCs/>
              <w:snapToGrid/>
              <w:color w:val="auto"/>
              <w:kern w:val="2"/>
              <w:szCs w:val="24"/>
              <w:highlight w:val="none"/>
              <w:lang w:val="en-US" w:eastAsia="zh-CN" w:bidi="ar-SA"/>
            </w:rPr>
            <w:fldChar w:fldCharType="end"/>
          </w: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_Toc9762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highlight w:val="none"/>
              <w:lang w:val="en-US" w:eastAsia="zh-CN"/>
            </w:rPr>
            <w:t>重点项目库（14个）</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_Toc9762 \h </w:instrText>
          </w:r>
          <w:r>
            <w:rPr>
              <w:rFonts w:hint="eastAsia" w:eastAsia="黑体" w:cs="黑体"/>
              <w:b/>
              <w:bCs/>
              <w:color w:val="auto"/>
              <w:highlight w:val="none"/>
            </w:rPr>
            <w:fldChar w:fldCharType="separate"/>
          </w:r>
          <w:r>
            <w:rPr>
              <w:rFonts w:hint="eastAsia" w:eastAsia="黑体" w:cs="黑体"/>
              <w:b/>
              <w:bCs/>
              <w:color w:val="auto"/>
              <w:highlight w:val="none"/>
            </w:rPr>
            <w:t>55</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761D5744">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_Toc18432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lang w:val="en-US" w:eastAsia="zh-CN"/>
            </w:rPr>
            <w:t>附表2</w:t>
          </w:r>
          <w:r>
            <w:rPr>
              <w:rFonts w:hint="eastAsia" w:eastAsia="黑体" w:cs="黑体"/>
              <w:b/>
              <w:bCs/>
              <w:color w:val="auto"/>
              <w:highlight w:val="none"/>
              <w:lang w:eastAsia="zh-CN"/>
            </w:rPr>
            <w:t>：</w:t>
          </w:r>
          <w:r>
            <w:rPr>
              <w:rFonts w:hint="eastAsia" w:ascii="黑体" w:hAnsi="黑体" w:eastAsia="黑体" w:cs="黑体"/>
              <w:b/>
              <w:bCs/>
              <w:snapToGrid/>
              <w:color w:val="auto"/>
              <w:kern w:val="2"/>
              <w:szCs w:val="24"/>
              <w:highlight w:val="none"/>
              <w:lang w:val="en-US" w:eastAsia="zh-CN" w:bidi="ar-SA"/>
            </w:rPr>
            <w:fldChar w:fldCharType="end"/>
          </w: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_Toc17494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highlight w:val="none"/>
              <w:lang w:val="en-US" w:eastAsia="zh-CN"/>
            </w:rPr>
            <w:t>一般项目库（13个）</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_Toc17494 \h </w:instrText>
          </w:r>
          <w:r>
            <w:rPr>
              <w:rFonts w:hint="eastAsia" w:eastAsia="黑体" w:cs="黑体"/>
              <w:b/>
              <w:bCs/>
              <w:color w:val="auto"/>
              <w:highlight w:val="none"/>
            </w:rPr>
            <w:fldChar w:fldCharType="separate"/>
          </w:r>
          <w:r>
            <w:rPr>
              <w:rFonts w:hint="eastAsia" w:eastAsia="黑体" w:cs="黑体"/>
              <w:b/>
              <w:bCs/>
              <w:color w:val="auto"/>
              <w:highlight w:val="none"/>
            </w:rPr>
            <w:t>59</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54B6273D">
          <w:pPr>
            <w:pStyle w:val="8"/>
            <w:widowControl/>
            <w:tabs>
              <w:tab w:val="right" w:leader="dot" w:pos="8306"/>
            </w:tabs>
            <w:ind w:firstLine="0" w:firstLineChars="0"/>
            <w:rPr>
              <w:rFonts w:hint="eastAsia" w:eastAsia="黑体" w:cs="黑体"/>
              <w:b/>
              <w:bCs/>
              <w:color w:val="auto"/>
              <w:highlight w:val="none"/>
            </w:rPr>
          </w:pP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_Toc25012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szCs w:val="24"/>
              <w:highlight w:val="none"/>
              <w:lang w:val="en-US" w:eastAsia="zh-CN"/>
            </w:rPr>
            <w:t>附表3</w:t>
          </w:r>
          <w:r>
            <w:rPr>
              <w:rFonts w:hint="eastAsia" w:eastAsia="黑体" w:cs="黑体"/>
              <w:b/>
              <w:bCs/>
              <w:color w:val="auto"/>
              <w:highlight w:val="none"/>
              <w:lang w:eastAsia="zh-CN"/>
            </w:rPr>
            <w:t>：</w:t>
          </w:r>
          <w:r>
            <w:rPr>
              <w:rFonts w:hint="eastAsia" w:ascii="黑体" w:hAnsi="黑体" w:eastAsia="黑体" w:cs="黑体"/>
              <w:b/>
              <w:bCs/>
              <w:snapToGrid/>
              <w:color w:val="auto"/>
              <w:kern w:val="2"/>
              <w:szCs w:val="24"/>
              <w:highlight w:val="none"/>
              <w:lang w:val="en-US" w:eastAsia="zh-CN" w:bidi="ar-SA"/>
            </w:rPr>
            <w:fldChar w:fldCharType="end"/>
          </w:r>
          <w:r>
            <w:rPr>
              <w:rFonts w:hint="eastAsia" w:ascii="黑体" w:hAnsi="黑体" w:eastAsia="黑体" w:cs="黑体"/>
              <w:b/>
              <w:bCs/>
              <w:snapToGrid/>
              <w:color w:val="auto"/>
              <w:kern w:val="2"/>
              <w:szCs w:val="24"/>
              <w:highlight w:val="none"/>
              <w:lang w:val="en-US" w:eastAsia="zh-CN" w:bidi="ar-SA"/>
            </w:rPr>
            <w:fldChar w:fldCharType="begin"/>
          </w:r>
          <w:r>
            <w:rPr>
              <w:rFonts w:hint="eastAsia" w:ascii="黑体" w:hAnsi="黑体" w:eastAsia="黑体" w:cs="黑体"/>
              <w:b/>
              <w:bCs/>
              <w:snapToGrid/>
              <w:color w:val="auto"/>
              <w:kern w:val="2"/>
              <w:szCs w:val="24"/>
              <w:highlight w:val="none"/>
              <w:lang w:val="en-US" w:eastAsia="zh-CN" w:bidi="ar-SA"/>
            </w:rPr>
            <w:instrText xml:space="preserve"> HYPERLINK \l _Toc27115 </w:instrText>
          </w:r>
          <w:r>
            <w:rPr>
              <w:rFonts w:hint="eastAsia" w:ascii="黑体" w:hAnsi="黑体" w:eastAsia="黑体" w:cs="黑体"/>
              <w:b/>
              <w:bCs/>
              <w:snapToGrid/>
              <w:color w:val="auto"/>
              <w:kern w:val="2"/>
              <w:szCs w:val="24"/>
              <w:highlight w:val="none"/>
              <w:lang w:val="en-US" w:eastAsia="zh-CN" w:bidi="ar-SA"/>
            </w:rPr>
            <w:fldChar w:fldCharType="separate"/>
          </w:r>
          <w:r>
            <w:rPr>
              <w:rFonts w:hint="eastAsia" w:eastAsia="黑体" w:cs="黑体"/>
              <w:b/>
              <w:bCs/>
              <w:color w:val="auto"/>
              <w:highlight w:val="none"/>
              <w:lang w:val="en-US" w:eastAsia="zh-CN"/>
            </w:rPr>
            <w:t>储备项目库（8个）</w:t>
          </w:r>
          <w:r>
            <w:rPr>
              <w:rFonts w:hint="eastAsia" w:eastAsia="黑体" w:cs="黑体"/>
              <w:b/>
              <w:bCs/>
              <w:color w:val="auto"/>
              <w:highlight w:val="none"/>
            </w:rPr>
            <w:tab/>
          </w:r>
          <w:r>
            <w:rPr>
              <w:rFonts w:hint="eastAsia" w:eastAsia="黑体" w:cs="黑体"/>
              <w:b/>
              <w:bCs/>
              <w:color w:val="auto"/>
              <w:highlight w:val="none"/>
            </w:rPr>
            <w:fldChar w:fldCharType="begin"/>
          </w:r>
          <w:r>
            <w:rPr>
              <w:rFonts w:hint="eastAsia" w:eastAsia="黑体" w:cs="黑体"/>
              <w:b/>
              <w:bCs/>
              <w:color w:val="auto"/>
              <w:highlight w:val="none"/>
            </w:rPr>
            <w:instrText xml:space="preserve"> PAGEREF _Toc27115 \h </w:instrText>
          </w:r>
          <w:r>
            <w:rPr>
              <w:rFonts w:hint="eastAsia" w:eastAsia="黑体" w:cs="黑体"/>
              <w:b/>
              <w:bCs/>
              <w:color w:val="auto"/>
              <w:highlight w:val="none"/>
            </w:rPr>
            <w:fldChar w:fldCharType="separate"/>
          </w:r>
          <w:r>
            <w:rPr>
              <w:rFonts w:hint="eastAsia" w:eastAsia="黑体" w:cs="黑体"/>
              <w:b/>
              <w:bCs/>
              <w:color w:val="auto"/>
              <w:highlight w:val="none"/>
            </w:rPr>
            <w:t>67</w:t>
          </w:r>
          <w:r>
            <w:rPr>
              <w:rFonts w:hint="eastAsia" w:eastAsia="黑体" w:cs="黑体"/>
              <w:b/>
              <w:bCs/>
              <w:color w:val="auto"/>
              <w:highlight w:val="none"/>
            </w:rPr>
            <w:fldChar w:fldCharType="end"/>
          </w:r>
          <w:r>
            <w:rPr>
              <w:rFonts w:hint="eastAsia" w:ascii="黑体" w:hAnsi="黑体" w:eastAsia="黑体" w:cs="黑体"/>
              <w:b/>
              <w:bCs/>
              <w:snapToGrid/>
              <w:color w:val="auto"/>
              <w:kern w:val="2"/>
              <w:szCs w:val="24"/>
              <w:highlight w:val="none"/>
              <w:lang w:val="en-US" w:eastAsia="zh-CN" w:bidi="ar-SA"/>
            </w:rPr>
            <w:fldChar w:fldCharType="end"/>
          </w:r>
        </w:p>
        <w:p w14:paraId="6A7247B4">
          <w:pPr>
            <w:keepNext/>
            <w:keepLines/>
            <w:widowControl w:val="0"/>
            <w:kinsoku/>
            <w:autoSpaceDE/>
            <w:autoSpaceDN/>
            <w:adjustRightInd/>
            <w:snapToGrid/>
            <w:spacing w:after="93" w:afterLines="30" w:line="640" w:lineRule="exact"/>
            <w:ind w:firstLine="0" w:firstLineChars="0"/>
            <w:jc w:val="center"/>
            <w:textAlignment w:val="auto"/>
            <w:outlineLvl w:val="9"/>
            <w:rPr>
              <w:rFonts w:hint="eastAsia" w:ascii="黑体" w:hAnsi="黑体" w:eastAsia="黑体" w:cs="Times New Roman"/>
              <w:bCs w:val="0"/>
              <w:snapToGrid/>
              <w:color w:val="000000"/>
              <w:kern w:val="44"/>
              <w:szCs w:val="44"/>
              <w:lang w:val="en-US" w:eastAsia="zh-CN" w:bidi="ar-SA"/>
            </w:rPr>
          </w:pPr>
          <w:r>
            <w:rPr>
              <w:rFonts w:hint="eastAsia" w:ascii="黑体" w:hAnsi="黑体" w:eastAsia="黑体" w:cs="Times New Roman"/>
              <w:bCs w:val="0"/>
              <w:snapToGrid/>
              <w:color w:val="000000"/>
              <w:kern w:val="44"/>
              <w:szCs w:val="44"/>
              <w:lang w:val="en-US" w:eastAsia="zh-CN" w:bidi="ar-SA"/>
            </w:rPr>
            <w:fldChar w:fldCharType="end"/>
          </w:r>
        </w:p>
      </w:sdtContent>
    </w:sdt>
    <w:p w14:paraId="2AFA6FEF">
      <w:pPr>
        <w:keepNext/>
        <w:keepLines/>
        <w:widowControl w:val="0"/>
        <w:kinsoku/>
        <w:autoSpaceDE/>
        <w:autoSpaceDN/>
        <w:adjustRightInd/>
        <w:snapToGrid/>
        <w:spacing w:after="93" w:afterLines="30" w:line="640" w:lineRule="exact"/>
        <w:ind w:firstLine="0" w:firstLineChars="0"/>
        <w:jc w:val="center"/>
        <w:textAlignment w:val="auto"/>
        <w:outlineLvl w:val="9"/>
        <w:rPr>
          <w:rFonts w:hint="eastAsia" w:ascii="黑体" w:hAnsi="黑体" w:eastAsia="黑体" w:cs="Times New Roman"/>
          <w:bCs w:val="0"/>
          <w:snapToGrid/>
          <w:color w:val="000000"/>
          <w:kern w:val="44"/>
          <w:szCs w:val="44"/>
          <w:lang w:val="en-US" w:eastAsia="zh-CN" w:bidi="ar-SA"/>
        </w:rPr>
        <w:sectPr>
          <w:footerReference r:id="rId6" w:type="default"/>
          <w:pgSz w:w="11906" w:h="16838"/>
          <w:pgMar w:top="1440" w:right="1800" w:bottom="1440" w:left="1800" w:header="851" w:footer="992" w:gutter="0"/>
          <w:pgNumType w:fmt="upperRoman" w:start="1"/>
          <w:cols w:space="425" w:num="1"/>
          <w:docGrid w:type="lines" w:linePitch="312" w:charSpace="0"/>
        </w:sectPr>
      </w:pPr>
    </w:p>
    <w:p w14:paraId="4B098792">
      <w:pPr>
        <w:keepNext/>
        <w:keepLines/>
        <w:widowControl w:val="0"/>
        <w:kinsoku/>
        <w:autoSpaceDE/>
        <w:autoSpaceDN/>
        <w:adjustRightInd/>
        <w:snapToGrid/>
        <w:spacing w:after="93" w:afterLines="30" w:line="640" w:lineRule="exact"/>
        <w:ind w:firstLine="0" w:firstLineChars="0"/>
        <w:jc w:val="center"/>
        <w:textAlignment w:val="auto"/>
        <w:outlineLvl w:val="0"/>
        <w:rPr>
          <w:rFonts w:hint="default" w:ascii="黑体" w:hAnsi="黑体" w:eastAsia="黑体" w:cs="Times New Roman"/>
          <w:b/>
          <w:bCs w:val="0"/>
          <w:snapToGrid/>
          <w:color w:val="000000"/>
          <w:kern w:val="44"/>
          <w:sz w:val="32"/>
          <w:szCs w:val="44"/>
          <w:lang w:val="en-US" w:eastAsia="zh-CN" w:bidi="ar-SA"/>
        </w:rPr>
      </w:pPr>
      <w:bookmarkStart w:id="20" w:name="_Toc18946"/>
      <w:bookmarkStart w:id="21" w:name="_Toc23084"/>
      <w:bookmarkStart w:id="22" w:name="_Toc9043"/>
      <w:r>
        <w:rPr>
          <w:rFonts w:hint="eastAsia" w:ascii="黑体" w:hAnsi="黑体" w:eastAsia="黑体" w:cs="Times New Roman"/>
          <w:b/>
          <w:bCs w:val="0"/>
          <w:snapToGrid/>
          <w:color w:val="000000"/>
          <w:kern w:val="44"/>
          <w:sz w:val="32"/>
          <w:szCs w:val="44"/>
          <w:lang w:val="en-US" w:eastAsia="zh-CN" w:bidi="ar-SA"/>
        </w:rPr>
        <w:t xml:space="preserve">第一章 </w:t>
      </w:r>
      <w:bookmarkEnd w:id="6"/>
      <w:bookmarkEnd w:id="7"/>
      <w:r>
        <w:rPr>
          <w:rFonts w:hint="eastAsia" w:ascii="黑体" w:hAnsi="黑体" w:eastAsia="黑体" w:cs="Times New Roman"/>
          <w:b/>
          <w:bCs w:val="0"/>
          <w:snapToGrid/>
          <w:color w:val="000000"/>
          <w:kern w:val="44"/>
          <w:sz w:val="32"/>
          <w:szCs w:val="44"/>
          <w:lang w:val="en-US" w:eastAsia="zh-CN" w:bidi="ar-SA"/>
        </w:rPr>
        <w:t>发展基础</w:t>
      </w:r>
      <w:bookmarkEnd w:id="8"/>
      <w:bookmarkEnd w:id="9"/>
      <w:bookmarkEnd w:id="10"/>
      <w:bookmarkEnd w:id="11"/>
      <w:bookmarkEnd w:id="12"/>
      <w:bookmarkEnd w:id="13"/>
      <w:bookmarkEnd w:id="14"/>
      <w:bookmarkEnd w:id="20"/>
      <w:bookmarkEnd w:id="21"/>
      <w:bookmarkEnd w:id="22"/>
    </w:p>
    <w:p w14:paraId="222513C9">
      <w:pPr>
        <w:widowControl/>
        <w:numPr>
          <w:ilvl w:val="-1"/>
          <w:numId w:val="0"/>
        </w:numPr>
        <w:tabs>
          <w:tab w:val="left" w:pos="0"/>
        </w:tabs>
        <w:kinsoku/>
        <w:autoSpaceDE/>
        <w:autoSpaceDN/>
        <w:adjustRightInd w:val="0"/>
        <w:snapToGrid/>
        <w:spacing w:before="62" w:beforeLines="20" w:after="93" w:afterLines="30" w:line="640" w:lineRule="exact"/>
        <w:ind w:left="0" w:right="0" w:firstLine="643" w:firstLineChars="200"/>
        <w:jc w:val="both"/>
        <w:textAlignment w:val="auto"/>
        <w:outlineLvl w:val="1"/>
        <w:rPr>
          <w:rFonts w:hint="eastAsia" w:ascii="仿宋_GB2312" w:hAnsi="仿宋_GB2312" w:eastAsia="仿宋_GB2312" w:cs="Times New Roman"/>
          <w:snapToGrid/>
          <w:color w:val="000000"/>
          <w:spacing w:val="0"/>
          <w:kern w:val="2"/>
          <w:sz w:val="32"/>
          <w:szCs w:val="24"/>
          <w:lang w:val="en-US" w:eastAsia="zh-CN"/>
        </w:rPr>
      </w:pPr>
      <w:bookmarkStart w:id="23" w:name="bookmark114"/>
      <w:bookmarkEnd w:id="23"/>
      <w:bookmarkStart w:id="24" w:name="_Toc31017"/>
      <w:bookmarkStart w:id="25" w:name="_Toc13483"/>
      <w:bookmarkStart w:id="26" w:name="_Toc27171"/>
      <w:bookmarkStart w:id="27" w:name="_Toc4389"/>
      <w:bookmarkStart w:id="28" w:name="_Toc18802"/>
      <w:bookmarkStart w:id="29" w:name="_Toc22311"/>
      <w:bookmarkStart w:id="30" w:name="_Toc7709"/>
      <w:bookmarkStart w:id="31" w:name="_Toc2092"/>
      <w:bookmarkStart w:id="32" w:name="_Toc14160"/>
      <w:bookmarkStart w:id="33" w:name="_Toc6670"/>
      <w:bookmarkStart w:id="34" w:name="_Toc13671"/>
      <w:bookmarkStart w:id="35" w:name="_Toc9740"/>
      <w:r>
        <w:rPr>
          <w:rFonts w:hint="eastAsia" w:ascii="黑体" w:hAnsi="黑体" w:eastAsia="黑体" w:cs="黑体"/>
          <w:b/>
          <w:bCs/>
          <w:snapToGrid/>
          <w:color w:val="000000"/>
          <w:kern w:val="2"/>
          <w:sz w:val="32"/>
          <w:szCs w:val="32"/>
          <w:lang w:val="en-US" w:eastAsia="zh-CN" w:bidi="ar-SA"/>
        </w:rPr>
        <w:t>一、发展</w:t>
      </w:r>
      <w:bookmarkEnd w:id="24"/>
      <w:bookmarkEnd w:id="25"/>
      <w:r>
        <w:rPr>
          <w:rFonts w:hint="eastAsia" w:ascii="黑体" w:hAnsi="黑体" w:eastAsia="黑体" w:cs="黑体"/>
          <w:b/>
          <w:bCs/>
          <w:snapToGrid/>
          <w:color w:val="000000"/>
          <w:kern w:val="2"/>
          <w:sz w:val="32"/>
          <w:szCs w:val="32"/>
          <w:lang w:val="en-US" w:eastAsia="zh-CN" w:bidi="ar-SA"/>
        </w:rPr>
        <w:t>成就</w:t>
      </w:r>
      <w:bookmarkEnd w:id="26"/>
      <w:bookmarkEnd w:id="27"/>
      <w:bookmarkEnd w:id="28"/>
      <w:bookmarkEnd w:id="29"/>
      <w:bookmarkEnd w:id="30"/>
      <w:bookmarkEnd w:id="31"/>
      <w:bookmarkEnd w:id="32"/>
      <w:bookmarkEnd w:id="33"/>
      <w:bookmarkEnd w:id="34"/>
      <w:bookmarkEnd w:id="35"/>
    </w:p>
    <w:p w14:paraId="32E79710">
      <w:pPr>
        <w:numPr>
          <w:ilvl w:val="0"/>
          <w:numId w:val="0"/>
        </w:numPr>
        <w:shd w:val="clear"/>
        <w:spacing w:before="0" w:line="560" w:lineRule="exact"/>
        <w:ind w:firstLine="640" w:firstLineChars="200"/>
        <w:rPr>
          <w:rFonts w:hint="eastAsia" w:ascii="仿宋_GB2312" w:hAnsi="仿宋_GB2312" w:eastAsia="仿宋_GB2312" w:cs="Times New Roman"/>
          <w:snapToGrid/>
          <w:color w:val="000000"/>
          <w:spacing w:val="0"/>
          <w:kern w:val="2"/>
          <w:sz w:val="32"/>
          <w:szCs w:val="24"/>
          <w:lang w:val="en-US" w:eastAsia="zh-CN"/>
        </w:rPr>
      </w:pPr>
      <w:r>
        <w:rPr>
          <w:rFonts w:hint="eastAsia" w:cs="Times New Roman"/>
          <w:snapToGrid/>
          <w:color w:val="000000"/>
          <w:spacing w:val="0"/>
          <w:kern w:val="2"/>
          <w:sz w:val="32"/>
          <w:szCs w:val="24"/>
          <w:lang w:val="en-US" w:eastAsia="zh-CN"/>
        </w:rPr>
        <w:t>“十四五”时期，</w:t>
      </w:r>
      <w:r>
        <w:rPr>
          <w:rFonts w:hint="eastAsia" w:ascii="仿宋_GB2312" w:hAnsi="仿宋_GB2312" w:eastAsia="仿宋_GB2312" w:cs="Times New Roman"/>
          <w:snapToGrid/>
          <w:color w:val="000000"/>
          <w:spacing w:val="0"/>
          <w:kern w:val="2"/>
          <w:sz w:val="32"/>
          <w:szCs w:val="24"/>
          <w:lang w:val="en-US" w:eastAsia="zh-CN"/>
        </w:rPr>
        <w:t>万宁</w:t>
      </w:r>
      <w:r>
        <w:rPr>
          <w:rFonts w:hint="eastAsia" w:cs="Times New Roman"/>
          <w:snapToGrid/>
          <w:color w:val="000000"/>
          <w:spacing w:val="0"/>
          <w:kern w:val="2"/>
          <w:sz w:val="32"/>
          <w:szCs w:val="24"/>
          <w:lang w:val="en-US" w:eastAsia="zh-CN"/>
        </w:rPr>
        <w:t>市</w:t>
      </w:r>
      <w:r>
        <w:rPr>
          <w:rFonts w:hint="eastAsia" w:ascii="仿宋_GB2312" w:hAnsi="仿宋_GB2312" w:eastAsia="仿宋_GB2312" w:cs="Times New Roman"/>
          <w:snapToGrid/>
          <w:color w:val="000000"/>
          <w:spacing w:val="0"/>
          <w:kern w:val="2"/>
          <w:sz w:val="32"/>
          <w:szCs w:val="24"/>
          <w:lang w:val="en-US" w:eastAsia="zh-CN"/>
        </w:rPr>
        <w:t>实现从单点驱动到湾区协同的发展跃迁，</w:t>
      </w:r>
      <w:r>
        <w:rPr>
          <w:rFonts w:hint="eastAsia" w:cs="Times New Roman"/>
          <w:snapToGrid/>
          <w:color w:val="000000"/>
          <w:spacing w:val="0"/>
          <w:kern w:val="2"/>
          <w:sz w:val="32"/>
          <w:szCs w:val="24"/>
          <w:lang w:val="en-US" w:eastAsia="zh-CN"/>
        </w:rPr>
        <w:t>产业规模逆势增长，综合实力显著增强，</w:t>
      </w:r>
      <w:r>
        <w:rPr>
          <w:rFonts w:hint="eastAsia" w:ascii="仿宋_GB2312" w:hAnsi="仿宋_GB2312" w:eastAsia="仿宋_GB2312" w:cs="Times New Roman"/>
          <w:snapToGrid/>
          <w:color w:val="000000"/>
          <w:spacing w:val="0"/>
          <w:kern w:val="2"/>
          <w:sz w:val="32"/>
          <w:szCs w:val="24"/>
          <w:lang w:val="en-US" w:eastAsia="zh-CN"/>
        </w:rPr>
        <w:t>成为海南东部旅游</w:t>
      </w:r>
      <w:r>
        <w:rPr>
          <w:rFonts w:hint="eastAsia" w:cs="Times New Roman"/>
          <w:snapToGrid/>
          <w:color w:val="000000"/>
          <w:spacing w:val="0"/>
          <w:kern w:val="2"/>
          <w:sz w:val="32"/>
          <w:szCs w:val="24"/>
          <w:lang w:val="en-US" w:eastAsia="zh-CN"/>
        </w:rPr>
        <w:t>消费新增长点</w:t>
      </w:r>
      <w:r>
        <w:rPr>
          <w:rFonts w:hint="eastAsia" w:ascii="仿宋_GB2312" w:hAnsi="仿宋_GB2312" w:eastAsia="仿宋_GB2312" w:cs="Times New Roman"/>
          <w:snapToGrid/>
          <w:color w:val="000000"/>
          <w:spacing w:val="0"/>
          <w:kern w:val="2"/>
          <w:sz w:val="32"/>
          <w:szCs w:val="24"/>
          <w:lang w:val="en-US" w:eastAsia="zh-CN"/>
        </w:rPr>
        <w:t>。</w:t>
      </w:r>
    </w:p>
    <w:p w14:paraId="4316A045">
      <w:pPr>
        <w:keepNext/>
        <w:keepLines/>
        <w:shd w:val="clear"/>
        <w:adjustRightInd w:val="0"/>
        <w:spacing w:before="0" w:line="640" w:lineRule="exact"/>
        <w:ind w:firstLine="643"/>
        <w:jc w:val="left"/>
        <w:textAlignment w:val="baseline"/>
        <w:outlineLvl w:val="2"/>
        <w:rPr>
          <w:rFonts w:hint="default" w:ascii="Times New Roman" w:hAnsi="Times New Roman" w:cs="Times New Roman"/>
          <w:color w:val="auto"/>
          <w:highlight w:val="none"/>
          <w:lang w:val="en-US" w:eastAsia="zh-CN"/>
        </w:rPr>
      </w:pPr>
      <w:r>
        <w:rPr>
          <w:rFonts w:hint="eastAsia" w:ascii="Times New Roman" w:hAnsi="Times New Roman" w:eastAsia="楷体" w:cs="Times New Roman"/>
          <w:b/>
          <w:color w:val="000000"/>
          <w:szCs w:val="32"/>
          <w:highlight w:val="none"/>
          <w:lang w:val="en-US" w:eastAsia="zh-CN"/>
        </w:rPr>
        <w:t>（一）</w:t>
      </w:r>
      <w:r>
        <w:rPr>
          <w:rFonts w:hint="eastAsia" w:ascii="Times New Roman" w:hAnsi="Times New Roman" w:eastAsia="楷体" w:cs="Times New Roman"/>
          <w:b/>
          <w:color w:val="000000"/>
          <w:sz w:val="32"/>
          <w:szCs w:val="32"/>
        </w:rPr>
        <w:t>产业规模逆势增长，综合实力显著增强</w:t>
      </w:r>
    </w:p>
    <w:p w14:paraId="389A887B">
      <w:pPr>
        <w:widowControl w:val="0"/>
        <w:numPr>
          <w:ilvl w:val="0"/>
          <w:numId w:val="0"/>
        </w:numPr>
        <w:kinsoku/>
        <w:autoSpaceDE/>
        <w:autoSpaceDN/>
        <w:adjustRightInd/>
        <w:snapToGrid/>
        <w:spacing w:before="0" w:line="560" w:lineRule="exact"/>
        <w:ind w:left="0" w:right="0" w:firstLine="643" w:firstLineChars="200"/>
        <w:jc w:val="both"/>
        <w:textAlignment w:val="auto"/>
        <w:rPr>
          <w:rFonts w:hint="eastAsia" w:cs="Times New Roman"/>
          <w:snapToGrid/>
          <w:color w:val="000000"/>
          <w:spacing w:val="0"/>
          <w:kern w:val="2"/>
          <w:sz w:val="32"/>
          <w:szCs w:val="24"/>
          <w:lang w:val="en-US" w:eastAsia="zh-CN"/>
        </w:rPr>
      </w:pPr>
      <w:r>
        <w:rPr>
          <w:rFonts w:hint="eastAsia" w:cs="Times New Roman"/>
          <w:b/>
          <w:bCs/>
          <w:snapToGrid/>
          <w:color w:val="000000"/>
          <w:spacing w:val="0"/>
          <w:kern w:val="2"/>
          <w:sz w:val="32"/>
          <w:szCs w:val="24"/>
          <w:lang w:val="en-US" w:eastAsia="zh-CN"/>
        </w:rPr>
        <w:t>核心指标持续攀升</w:t>
      </w:r>
      <w:r>
        <w:rPr>
          <w:rFonts w:hint="eastAsia" w:ascii="仿宋_GB2312" w:hAnsi="仿宋_GB2312" w:eastAsia="仿宋_GB2312" w:cs="Times New Roman"/>
          <w:b/>
          <w:bCs/>
          <w:snapToGrid/>
          <w:color w:val="000000"/>
          <w:spacing w:val="0"/>
          <w:kern w:val="2"/>
          <w:sz w:val="32"/>
          <w:szCs w:val="24"/>
          <w:lang w:val="en-US" w:eastAsia="zh-CN"/>
        </w:rPr>
        <w:t>。</w:t>
      </w:r>
      <w:r>
        <w:rPr>
          <w:rFonts w:hint="eastAsia" w:ascii="仿宋_GB2312" w:hAnsi="仿宋_GB2312" w:eastAsia="仿宋_GB2312" w:cs="Times New Roman"/>
          <w:snapToGrid/>
          <w:color w:val="000000"/>
          <w:spacing w:val="0"/>
          <w:kern w:val="2"/>
          <w:sz w:val="32"/>
          <w:szCs w:val="24"/>
          <w:lang w:val="en-US" w:eastAsia="zh-CN"/>
        </w:rPr>
        <w:t>“十四五”期间</w:t>
      </w:r>
      <w:r>
        <w:rPr>
          <w:rFonts w:hint="eastAsia" w:cs="Times New Roman"/>
          <w:snapToGrid/>
          <w:color w:val="000000"/>
          <w:spacing w:val="0"/>
          <w:kern w:val="2"/>
          <w:sz w:val="32"/>
          <w:szCs w:val="24"/>
          <w:lang w:val="en-US" w:eastAsia="zh-CN"/>
        </w:rPr>
        <w:t>，</w:t>
      </w:r>
      <w:r>
        <w:rPr>
          <w:rFonts w:hint="eastAsia" w:ascii="仿宋_GB2312" w:hAnsi="仿宋_GB2312" w:eastAsia="仿宋_GB2312" w:cs="Times New Roman"/>
          <w:snapToGrid/>
          <w:color w:val="000000"/>
          <w:spacing w:val="0"/>
          <w:kern w:val="2"/>
          <w:sz w:val="32"/>
          <w:szCs w:val="24"/>
          <w:lang w:val="en-US" w:eastAsia="zh-CN"/>
        </w:rPr>
        <w:t>旅游产业规模持续扩大，接待国内外游客从2021年709.59万人次增至2025年978.38万人次</w:t>
      </w:r>
      <w:r>
        <w:rPr>
          <w:rFonts w:hint="eastAsia" w:cs="Times New Roman"/>
          <w:snapToGrid/>
          <w:color w:val="000000"/>
          <w:spacing w:val="0"/>
          <w:kern w:val="2"/>
          <w:sz w:val="32"/>
          <w:szCs w:val="24"/>
          <w:lang w:val="en-US" w:eastAsia="zh-CN"/>
        </w:rPr>
        <w:t>，游客</w:t>
      </w:r>
      <w:r>
        <w:rPr>
          <w:rFonts w:hint="eastAsia" w:ascii="仿宋_GB2312" w:hAnsi="仿宋_GB2312" w:eastAsia="仿宋_GB2312" w:cs="Times New Roman"/>
          <w:snapToGrid/>
          <w:color w:val="000000"/>
          <w:spacing w:val="0"/>
          <w:kern w:val="2"/>
          <w:sz w:val="32"/>
          <w:szCs w:val="24"/>
          <w:lang w:val="en-US" w:eastAsia="zh-CN"/>
        </w:rPr>
        <w:t>总花费从53.42亿元增至92.27亿元。2025年接待国内外游客978.38万人次，同比增长8.4%，占全省总量9.2%，增速居全省第6位；实现游客总花费92.27亿元，同比增长12.2%，占全省总量4.09%</w:t>
      </w:r>
      <w:r>
        <w:rPr>
          <w:rFonts w:hint="eastAsia" w:cs="Times New Roman"/>
          <w:snapToGrid/>
          <w:color w:val="000000"/>
          <w:spacing w:val="0"/>
          <w:kern w:val="2"/>
          <w:sz w:val="32"/>
          <w:szCs w:val="24"/>
          <w:lang w:val="en-US" w:eastAsia="zh-CN"/>
        </w:rPr>
        <w:t>；旅游业增加值占GDP比重为11.08%，旅游业已成为战略性支柱产业。</w:t>
      </w:r>
    </w:p>
    <w:p w14:paraId="5A761E5D">
      <w:pPr>
        <w:widowControl/>
        <w:numPr>
          <w:ilvl w:val="0"/>
          <w:numId w:val="0"/>
        </w:numPr>
        <w:kinsoku/>
        <w:autoSpaceDE/>
        <w:autoSpaceDN/>
        <w:adjustRightInd w:val="0"/>
        <w:snapToGrid w:val="0"/>
        <w:spacing w:before="0" w:line="560" w:lineRule="exact"/>
        <w:ind w:left="0" w:right="0" w:firstLine="643" w:firstLineChars="200"/>
        <w:jc w:val="both"/>
        <w:textAlignment w:val="auto"/>
        <w:rPr>
          <w:rFonts w:hint="eastAsia" w:ascii="仿宋_GB2312" w:hAnsi="仿宋_GB2312" w:eastAsia="仿宋_GB2312" w:cs="Times New Roman"/>
          <w:snapToGrid/>
          <w:color w:val="000000"/>
          <w:spacing w:val="0"/>
          <w:kern w:val="2"/>
          <w:sz w:val="32"/>
          <w:szCs w:val="24"/>
          <w:lang w:val="en-US" w:eastAsia="zh-CN"/>
        </w:rPr>
      </w:pPr>
      <w:r>
        <w:rPr>
          <w:rFonts w:hint="eastAsia" w:ascii="仿宋_GB2312" w:hAnsi="仿宋_GB2312" w:eastAsia="仿宋_GB2312" w:cs="Times New Roman"/>
          <w:b/>
          <w:bCs/>
          <w:color w:val="000000"/>
          <w:sz w:val="32"/>
        </w:rPr>
        <w:t>假日经济引爆消费</w:t>
      </w:r>
      <w:r>
        <w:rPr>
          <w:rFonts w:hint="eastAsia" w:cs="Times New Roman"/>
          <w:b/>
          <w:bCs/>
          <w:color w:val="000000"/>
          <w:sz w:val="32"/>
          <w:lang w:eastAsia="zh-CN"/>
        </w:rPr>
        <w:t>。</w:t>
      </w:r>
      <w:r>
        <w:rPr>
          <w:rFonts w:hint="eastAsia" w:ascii="仿宋_GB2312" w:hAnsi="仿宋_GB2312" w:eastAsia="仿宋_GB2312" w:cs="Times New Roman"/>
          <w:color w:val="000000"/>
          <w:sz w:val="32"/>
        </w:rPr>
        <w:t>五一、国庆、春节等黄金周表现亮眼，2023年中秋国庆位居全国消费爆发力城市第五位；2024年春节满房率全国第五、海南第一，</w:t>
      </w:r>
      <w:r>
        <w:rPr>
          <w:rFonts w:hint="eastAsia" w:cs="Times New Roman"/>
          <w:color w:val="000000"/>
          <w:sz w:val="32"/>
          <w:lang w:eastAsia="zh-CN"/>
        </w:rPr>
        <w:t>“五一”假期</w:t>
      </w:r>
      <w:r>
        <w:rPr>
          <w:rFonts w:hint="eastAsia" w:ascii="仿宋_GB2312" w:hAnsi="仿宋_GB2312" w:eastAsia="仿宋_GB2312" w:cs="Times New Roman"/>
          <w:color w:val="000000"/>
          <w:sz w:val="32"/>
        </w:rPr>
        <w:t>位列马蜂窝华南热门目的地第一；2025年国庆中秋黄金周接待游客57.47万人次、旅游收入3.78亿元，同比分别增长14.27%、22.63%，假日消费成为旅游增长核心引擎。</w:t>
      </w:r>
    </w:p>
    <w:p w14:paraId="06AAF5EE">
      <w:pPr>
        <w:keepNext/>
        <w:keepLines/>
        <w:widowControl/>
        <w:numPr>
          <w:ilvl w:val="-1"/>
          <w:numId w:val="0"/>
        </w:numPr>
        <w:tabs>
          <w:tab w:val="left" w:pos="40"/>
        </w:tabs>
        <w:kinsoku/>
        <w:autoSpaceDE/>
        <w:autoSpaceDN/>
        <w:adjustRightInd w:val="0"/>
        <w:snapToGrid/>
        <w:spacing w:before="0" w:line="640" w:lineRule="exact"/>
        <w:ind w:right="0" w:rightChars="0" w:firstLine="643" w:firstLineChars="0"/>
        <w:jc w:val="left"/>
        <w:textAlignment w:val="baseline"/>
        <w:outlineLvl w:val="2"/>
        <w:rPr>
          <w:rFonts w:hint="eastAsia" w:ascii="Times New Roman" w:hAnsi="Times New Roman" w:eastAsia="楷体" w:cs="Times New Roman"/>
          <w:b/>
          <w:bCs w:val="0"/>
          <w:snapToGrid/>
          <w:color w:val="000000"/>
          <w:spacing w:val="0"/>
          <w:kern w:val="2"/>
          <w:sz w:val="32"/>
          <w:szCs w:val="32"/>
          <w:lang w:val="en-US" w:eastAsia="zh-CN" w:bidi="ar-SA"/>
        </w:rPr>
      </w:pPr>
      <w:bookmarkStart w:id="36" w:name="heading_2"/>
      <w:r>
        <w:rPr>
          <w:rFonts w:hint="eastAsia" w:ascii="Times New Roman" w:hAnsi="Times New Roman" w:eastAsia="楷体" w:cs="Times New Roman"/>
          <w:b/>
          <w:color w:val="000000"/>
          <w:sz w:val="32"/>
          <w:szCs w:val="32"/>
        </w:rPr>
        <w:t>（二）品牌创建硕果累累，示范效应全面凸显</w:t>
      </w:r>
      <w:bookmarkEnd w:id="36"/>
    </w:p>
    <w:p w14:paraId="13091438">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全域旅游标杆成型</w:t>
      </w:r>
      <w:r>
        <w:rPr>
          <w:rFonts w:hint="eastAsia" w:cs="Times New Roman"/>
          <w:b/>
          <w:bCs/>
          <w:color w:val="000000"/>
          <w:sz w:val="32"/>
          <w:lang w:eastAsia="zh-CN"/>
        </w:rPr>
        <w:t>。</w:t>
      </w:r>
      <w:r>
        <w:rPr>
          <w:rFonts w:hint="eastAsia" w:ascii="仿宋_GB2312" w:hAnsi="仿宋_GB2312" w:eastAsia="仿宋_GB2312" w:cs="Times New Roman"/>
          <w:color w:val="000000"/>
          <w:sz w:val="32"/>
        </w:rPr>
        <w:t>2021年以全省第一成绩成功创建</w:t>
      </w:r>
      <w:r>
        <w:rPr>
          <w:rFonts w:hint="eastAsia" w:ascii="仿宋_GB2312" w:hAnsi="仿宋_GB2312" w:eastAsia="仿宋_GB2312" w:cs="Times New Roman"/>
          <w:b w:val="0"/>
          <w:color w:val="000000"/>
          <w:sz w:val="32"/>
        </w:rPr>
        <w:t>省级全域旅游示范区</w:t>
      </w:r>
      <w:r>
        <w:rPr>
          <w:rFonts w:hint="eastAsia" w:ascii="仿宋_GB2312" w:hAnsi="仿宋_GB2312" w:eastAsia="仿宋_GB2312" w:cs="Times New Roman"/>
          <w:color w:val="000000"/>
          <w:sz w:val="32"/>
        </w:rPr>
        <w:t>，2022—2025年持续推进国家全域旅游示范区创建，体制机制、产品供给、基础设施、市场推广全面升级，成为海南全域旅游示范样板。</w:t>
      </w:r>
    </w:p>
    <w:p w14:paraId="32CD7BBD">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体育旅游全国领先</w:t>
      </w:r>
      <w:r>
        <w:rPr>
          <w:rFonts w:hint="eastAsia" w:cs="Times New Roman"/>
          <w:b/>
          <w:bCs/>
          <w:color w:val="000000"/>
          <w:sz w:val="32"/>
          <w:lang w:eastAsia="zh-CN"/>
        </w:rPr>
        <w:t>。</w:t>
      </w:r>
      <w:r>
        <w:rPr>
          <w:rFonts w:hint="eastAsia"/>
          <w:b w:val="0"/>
          <w:bCs w:val="0"/>
          <w:color w:val="000000"/>
        </w:rPr>
        <w:t>“一中心三基地”水上运动产业布局基本成型，</w:t>
      </w:r>
      <w:r>
        <w:rPr>
          <w:rFonts w:hint="eastAsia" w:ascii="仿宋_GB2312" w:hAnsi="仿宋_GB2312" w:eastAsia="仿宋_GB2312" w:cs="Times New Roman"/>
          <w:color w:val="000000"/>
          <w:sz w:val="32"/>
        </w:rPr>
        <w:t>建成</w:t>
      </w:r>
      <w:r>
        <w:rPr>
          <w:rFonts w:hint="eastAsia" w:ascii="仿宋_GB2312" w:hAnsi="仿宋_GB2312" w:eastAsia="仿宋_GB2312" w:cs="Times New Roman"/>
          <w:b w:val="0"/>
          <w:color w:val="000000"/>
          <w:sz w:val="32"/>
        </w:rPr>
        <w:t>国家水上（海上）国民休闲运动中心</w:t>
      </w:r>
      <w:r>
        <w:rPr>
          <w:rFonts w:hint="eastAsia" w:ascii="仿宋_GB2312" w:hAnsi="仿宋_GB2312" w:eastAsia="仿宋_GB2312" w:cs="Times New Roman"/>
          <w:color w:val="000000"/>
          <w:sz w:val="32"/>
        </w:rPr>
        <w:t>，落地国家冲浪、潜水、摩托艇南方训练基地及中国高尔夫球协会（南方）国际交流中心、中国垂钓示范园；获评全国十佳体育旅游目的地，日月湾滨海沿线入选全国首批高质量户外运动目的地。</w:t>
      </w:r>
    </w:p>
    <w:p w14:paraId="538E5043">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景区业态迭代升级</w:t>
      </w:r>
      <w:r>
        <w:rPr>
          <w:rFonts w:hint="eastAsia" w:cs="Times New Roman"/>
          <w:b/>
          <w:bCs/>
          <w:color w:val="000000"/>
          <w:sz w:val="32"/>
          <w:lang w:eastAsia="zh-CN"/>
        </w:rPr>
        <w:t>。</w:t>
      </w:r>
      <w:r>
        <w:rPr>
          <w:rFonts w:hint="eastAsia" w:ascii="仿宋_GB2312" w:hAnsi="仿宋_GB2312" w:eastAsia="仿宋_GB2312" w:cs="Times New Roman"/>
          <w:color w:val="000000"/>
          <w:sz w:val="32"/>
        </w:rPr>
        <w:t>石梅湾成功创建</w:t>
      </w:r>
      <w:r>
        <w:rPr>
          <w:rFonts w:hint="eastAsia" w:ascii="仿宋_GB2312" w:hAnsi="仿宋_GB2312" w:eastAsia="仿宋_GB2312" w:cs="Times New Roman"/>
          <w:b w:val="0"/>
          <w:color w:val="000000"/>
          <w:sz w:val="32"/>
        </w:rPr>
        <w:t>国家级旅游度假区</w:t>
      </w:r>
      <w:r>
        <w:rPr>
          <w:rFonts w:hint="eastAsia" w:ascii="仿宋_GB2312" w:hAnsi="仿宋_GB2312" w:eastAsia="仿宋_GB2312" w:cs="Times New Roman"/>
          <w:color w:val="000000"/>
          <w:sz w:val="32"/>
        </w:rPr>
        <w:t>，实现万宁国家级度假区零的突破；兴隆咖啡文化园、M1咖啡奇幻工场创成国家3A级旅游景区；王府井悦舞小镇获评省级休闲街区；石梅湾—日月湾入选全国美丽海湾</w:t>
      </w:r>
      <w:r>
        <w:rPr>
          <w:rFonts w:hint="eastAsia" w:cs="Times New Roman"/>
          <w:color w:val="000000"/>
          <w:sz w:val="32"/>
          <w:lang w:eastAsia="zh-CN"/>
        </w:rPr>
        <w:t>；</w:t>
      </w:r>
      <w:r>
        <w:rPr>
          <w:rFonts w:hint="eastAsia" w:ascii="仿宋_GB2312" w:hAnsi="仿宋_GB2312" w:eastAsia="仿宋_GB2312" w:cs="Times New Roman"/>
          <w:color w:val="000000"/>
          <w:sz w:val="32"/>
        </w:rPr>
        <w:t>兴隆咖啡谷</w:t>
      </w:r>
      <w:r>
        <w:rPr>
          <w:rFonts w:hint="eastAsia" w:cs="Times New Roman"/>
          <w:color w:val="000000"/>
          <w:sz w:val="32"/>
          <w:lang w:eastAsia="zh-CN"/>
        </w:rPr>
        <w:t>、</w:t>
      </w:r>
      <w:r>
        <w:rPr>
          <w:rFonts w:hint="eastAsia" w:cs="Times New Roman"/>
          <w:color w:val="000000"/>
          <w:sz w:val="32"/>
          <w:lang w:val="en-US" w:eastAsia="zh-CN"/>
        </w:rPr>
        <w:t>兴隆神龟山庄</w:t>
      </w:r>
      <w:r>
        <w:rPr>
          <w:rFonts w:hint="eastAsia" w:ascii="仿宋_GB2312" w:hAnsi="仿宋_GB2312" w:eastAsia="仿宋_GB2312" w:cs="Times New Roman"/>
          <w:color w:val="000000"/>
          <w:sz w:val="32"/>
        </w:rPr>
        <w:t>获评五椰级乡村旅游点，建成一批四椰级、三椰级乡村旅游点及金宿、银宿级精品民宿，形成梯度化、高品质旅游产品体系。</w:t>
      </w:r>
    </w:p>
    <w:p w14:paraId="37111A17">
      <w:pPr>
        <w:shd w:val="clear"/>
        <w:spacing w:after="156" w:afterLines="50"/>
        <w:ind w:firstLine="840" w:firstLineChars="300"/>
        <w:rPr>
          <w:rFonts w:hint="eastAsia" w:ascii="黑体" w:hAnsi="黑体" w:eastAsia="黑体" w:cs="黑体"/>
          <w:bCs/>
          <w:color w:val="auto"/>
          <w:sz w:val="28"/>
          <w:szCs w:val="28"/>
          <w:highlight w:val="none"/>
          <w:lang w:val="en-US" w:eastAsia="en-US"/>
        </w:rPr>
      </w:pPr>
      <w:bookmarkStart w:id="37" w:name="heading_3"/>
      <w:r>
        <w:rPr>
          <w:rFonts w:hint="eastAsia" w:ascii="黑体" w:hAnsi="黑体" w:eastAsia="黑体" w:cs="黑体"/>
          <w:bCs/>
          <w:color w:val="auto"/>
          <w:sz w:val="28"/>
          <w:szCs w:val="28"/>
          <w:highlight w:val="none"/>
          <w:lang w:val="en-US" w:eastAsia="en-US"/>
        </w:rPr>
        <w:t>表</w:t>
      </w:r>
      <w:r>
        <w:rPr>
          <w:rFonts w:hint="eastAsia" w:ascii="黑体" w:hAnsi="黑体" w:eastAsia="黑体" w:cs="黑体"/>
          <w:bCs/>
          <w:color w:val="auto"/>
          <w:sz w:val="28"/>
          <w:szCs w:val="28"/>
          <w:highlight w:val="none"/>
          <w:lang w:val="en-US" w:eastAsia="zh-CN"/>
        </w:rPr>
        <w:t>1</w:t>
      </w:r>
      <w:r>
        <w:rPr>
          <w:rFonts w:hint="eastAsia" w:ascii="黑体" w:hAnsi="黑体" w:eastAsia="黑体" w:cs="黑体"/>
          <w:bCs/>
          <w:color w:val="auto"/>
          <w:sz w:val="28"/>
          <w:szCs w:val="28"/>
          <w:highlight w:val="none"/>
          <w:lang w:val="en-US" w:eastAsia="en-US"/>
        </w:rPr>
        <w:t xml:space="preserve"> </w:t>
      </w:r>
      <w:r>
        <w:rPr>
          <w:rFonts w:hint="eastAsia" w:ascii="黑体" w:hAnsi="黑体" w:eastAsia="黑体" w:cs="黑体"/>
          <w:bCs/>
          <w:color w:val="auto"/>
          <w:sz w:val="28"/>
          <w:szCs w:val="28"/>
          <w:highlight w:val="none"/>
          <w:lang w:val="en-US" w:eastAsia="zh-CN"/>
        </w:rPr>
        <w:t>万宁市</w:t>
      </w:r>
      <w:r>
        <w:rPr>
          <w:rFonts w:hint="eastAsia" w:ascii="黑体" w:hAnsi="黑体" w:eastAsia="黑体" w:cs="黑体"/>
          <w:bCs/>
          <w:color w:val="auto"/>
          <w:sz w:val="28"/>
          <w:szCs w:val="28"/>
          <w:highlight w:val="none"/>
          <w:lang w:val="en-US" w:eastAsia="en-US"/>
        </w:rPr>
        <w:t>主要旅游产品统计表（截至202</w:t>
      </w:r>
      <w:r>
        <w:rPr>
          <w:rFonts w:hint="eastAsia" w:ascii="黑体" w:hAnsi="黑体" w:eastAsia="黑体" w:cs="黑体"/>
          <w:bCs/>
          <w:color w:val="auto"/>
          <w:sz w:val="28"/>
          <w:szCs w:val="28"/>
          <w:highlight w:val="none"/>
          <w:lang w:val="en-US" w:eastAsia="zh-CN"/>
        </w:rPr>
        <w:t>5</w:t>
      </w:r>
      <w:r>
        <w:rPr>
          <w:rFonts w:hint="eastAsia" w:ascii="黑体" w:hAnsi="黑体" w:eastAsia="黑体" w:cs="黑体"/>
          <w:bCs/>
          <w:color w:val="auto"/>
          <w:sz w:val="28"/>
          <w:szCs w:val="28"/>
          <w:highlight w:val="none"/>
          <w:lang w:val="en-US" w:eastAsia="en-US"/>
        </w:rPr>
        <w:t>年</w:t>
      </w:r>
      <w:r>
        <w:rPr>
          <w:rFonts w:hint="eastAsia" w:ascii="黑体" w:hAnsi="黑体" w:eastAsia="黑体" w:cs="黑体"/>
          <w:bCs/>
          <w:color w:val="auto"/>
          <w:sz w:val="28"/>
          <w:szCs w:val="28"/>
          <w:highlight w:val="none"/>
          <w:lang w:val="en-US" w:eastAsia="zh-CN"/>
        </w:rPr>
        <w:t>12</w:t>
      </w:r>
      <w:r>
        <w:rPr>
          <w:rFonts w:hint="eastAsia" w:ascii="黑体" w:hAnsi="黑体" w:eastAsia="黑体" w:cs="黑体"/>
          <w:bCs/>
          <w:color w:val="auto"/>
          <w:sz w:val="28"/>
          <w:szCs w:val="28"/>
          <w:highlight w:val="none"/>
          <w:lang w:val="en-US" w:eastAsia="en-US"/>
        </w:rPr>
        <w:t>月</w:t>
      </w:r>
      <w:r>
        <w:rPr>
          <w:rFonts w:hint="eastAsia" w:ascii="黑体" w:hAnsi="黑体" w:eastAsia="黑体" w:cs="黑体"/>
          <w:bCs/>
          <w:color w:val="auto"/>
          <w:sz w:val="28"/>
          <w:szCs w:val="28"/>
          <w:highlight w:val="none"/>
          <w:lang w:val="en-US" w:eastAsia="zh-CN"/>
        </w:rPr>
        <w:t>底</w:t>
      </w:r>
      <w:r>
        <w:rPr>
          <w:rFonts w:hint="eastAsia" w:ascii="黑体" w:hAnsi="黑体" w:eastAsia="黑体" w:cs="黑体"/>
          <w:bCs/>
          <w:color w:val="auto"/>
          <w:sz w:val="28"/>
          <w:szCs w:val="28"/>
          <w:highlight w:val="none"/>
          <w:lang w:val="en-US" w:eastAsia="en-US"/>
        </w:rPr>
        <w:t>）</w:t>
      </w:r>
    </w:p>
    <w:tbl>
      <w:tblPr>
        <w:tblStyle w:val="20"/>
        <w:tblW w:w="870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47"/>
        <w:gridCol w:w="573"/>
        <w:gridCol w:w="5002"/>
        <w:gridCol w:w="858"/>
        <w:gridCol w:w="925"/>
      </w:tblGrid>
      <w:tr w14:paraId="78959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1347" w:type="dxa"/>
            <w:tcBorders>
              <w:top w:val="single" w:color="auto" w:sz="4" w:space="0"/>
              <w:left w:val="single" w:color="auto" w:sz="4" w:space="0"/>
              <w:bottom w:val="single" w:color="auto" w:sz="4" w:space="0"/>
              <w:right w:val="single" w:color="auto" w:sz="4" w:space="0"/>
            </w:tcBorders>
            <w:noWrap w:val="0"/>
            <w:vAlign w:val="center"/>
          </w:tcPr>
          <w:p w14:paraId="79F09B15">
            <w:pPr>
              <w:keepNext w:val="0"/>
              <w:keepLines w:val="0"/>
              <w:pageBreakBefore w:val="0"/>
              <w:widowControl/>
              <w:kinsoku w:val="0"/>
              <w:wordWrap/>
              <w:overflowPunct/>
              <w:topLinePunct w:val="0"/>
              <w:autoSpaceDE w:val="0"/>
              <w:autoSpaceDN w:val="0"/>
              <w:bidi w:val="0"/>
              <w:adjustRightInd w:val="0"/>
              <w:snapToGrid w:val="0"/>
              <w:spacing w:before="211" w:line="288" w:lineRule="auto"/>
              <w:ind w:left="0" w:leftChars="0" w:right="0" w:rightChars="0" w:firstLine="0" w:firstLineChars="0"/>
              <w:jc w:val="center"/>
              <w:textAlignment w:val="baseline"/>
              <w:rPr>
                <w:rFonts w:hint="eastAsia" w:ascii="仿宋_GB2312" w:hAnsi="仿宋_GB2312" w:eastAsia="仿宋_GB2312" w:cs="仿宋_GB2312"/>
                <w:b/>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3"/>
                <w:kern w:val="0"/>
                <w:sz w:val="20"/>
                <w:szCs w:val="20"/>
                <w:lang w:val="en-US" w:eastAsia="en-US" w:bidi="ar-SA"/>
              </w:rPr>
              <w:t>类别</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6A9CA4F1">
            <w:pPr>
              <w:keepNext w:val="0"/>
              <w:keepLines w:val="0"/>
              <w:pageBreakBefore w:val="0"/>
              <w:widowControl/>
              <w:kinsoku w:val="0"/>
              <w:wordWrap/>
              <w:overflowPunct/>
              <w:topLinePunct w:val="0"/>
              <w:autoSpaceDE w:val="0"/>
              <w:autoSpaceDN w:val="0"/>
              <w:bidi w:val="0"/>
              <w:adjustRightInd w:val="0"/>
              <w:snapToGrid w:val="0"/>
              <w:spacing w:before="211" w:line="288" w:lineRule="auto"/>
              <w:ind w:left="0" w:leftChars="0" w:right="0" w:rightChars="0" w:firstLine="0" w:firstLineChars="0"/>
              <w:jc w:val="center"/>
              <w:textAlignment w:val="baseline"/>
              <w:rPr>
                <w:rFonts w:hint="eastAsia" w:ascii="仿宋_GB2312" w:hAnsi="仿宋_GB2312" w:eastAsia="仿宋_GB2312" w:cs="仿宋_GB2312"/>
                <w:b/>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5"/>
                <w:kern w:val="0"/>
                <w:sz w:val="20"/>
                <w:szCs w:val="20"/>
                <w:lang w:val="en-US" w:eastAsia="zh-CN" w:bidi="ar-SA"/>
              </w:rPr>
              <w:t>序号</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5789827D">
            <w:pPr>
              <w:keepNext w:val="0"/>
              <w:keepLines w:val="0"/>
              <w:pageBreakBefore w:val="0"/>
              <w:widowControl/>
              <w:kinsoku w:val="0"/>
              <w:wordWrap/>
              <w:overflowPunct/>
              <w:topLinePunct w:val="0"/>
              <w:autoSpaceDE w:val="0"/>
              <w:autoSpaceDN w:val="0"/>
              <w:bidi w:val="0"/>
              <w:adjustRightInd w:val="0"/>
              <w:snapToGrid w:val="0"/>
              <w:spacing w:before="211" w:line="288" w:lineRule="auto"/>
              <w:ind w:left="0" w:leftChars="0" w:right="0" w:rightChars="0" w:firstLine="0" w:firstLineChars="0"/>
              <w:jc w:val="center"/>
              <w:textAlignment w:val="baseline"/>
              <w:rPr>
                <w:rFonts w:hint="eastAsia" w:ascii="仿宋_GB2312" w:hAnsi="仿宋_GB2312" w:eastAsia="仿宋_GB2312" w:cs="仿宋_GB2312"/>
                <w:b/>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2"/>
                <w:kern w:val="0"/>
                <w:sz w:val="20"/>
                <w:szCs w:val="20"/>
                <w:lang w:val="en-US" w:eastAsia="en-US" w:bidi="ar-SA"/>
              </w:rPr>
              <w:t>名称</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4F0AAD9E">
            <w:pPr>
              <w:keepNext w:val="0"/>
              <w:keepLines w:val="0"/>
              <w:pageBreakBefore w:val="0"/>
              <w:widowControl/>
              <w:kinsoku w:val="0"/>
              <w:wordWrap/>
              <w:overflowPunct/>
              <w:topLinePunct w:val="0"/>
              <w:autoSpaceDE w:val="0"/>
              <w:autoSpaceDN w:val="0"/>
              <w:bidi w:val="0"/>
              <w:adjustRightInd w:val="0"/>
              <w:snapToGrid w:val="0"/>
              <w:spacing w:before="211" w:line="288" w:lineRule="auto"/>
              <w:ind w:left="0" w:leftChars="0" w:right="0" w:rightChars="0" w:firstLine="0" w:firstLineChars="0"/>
              <w:jc w:val="center"/>
              <w:textAlignment w:val="baseline"/>
              <w:rPr>
                <w:rFonts w:hint="eastAsia" w:ascii="仿宋_GB2312" w:hAnsi="仿宋_GB2312" w:eastAsia="仿宋_GB2312" w:cs="仿宋_GB2312"/>
                <w:b/>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3"/>
                <w:kern w:val="0"/>
                <w:sz w:val="20"/>
                <w:szCs w:val="20"/>
                <w:lang w:val="en-US" w:eastAsia="en-US" w:bidi="ar-SA"/>
              </w:rPr>
              <w:t>等级</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2DE0728B">
            <w:pPr>
              <w:keepNext w:val="0"/>
              <w:keepLines w:val="0"/>
              <w:pageBreakBefore w:val="0"/>
              <w:widowControl/>
              <w:kinsoku w:val="0"/>
              <w:wordWrap/>
              <w:overflowPunct/>
              <w:topLinePunct w:val="0"/>
              <w:autoSpaceDE w:val="0"/>
              <w:autoSpaceDN w:val="0"/>
              <w:bidi w:val="0"/>
              <w:adjustRightInd w:val="0"/>
              <w:snapToGrid w:val="0"/>
              <w:spacing w:before="212" w:line="288" w:lineRule="auto"/>
              <w:ind w:left="0" w:leftChars="0" w:right="0" w:rightChars="0" w:firstLine="0" w:firstLineChars="0"/>
              <w:jc w:val="center"/>
              <w:textAlignment w:val="baseline"/>
              <w:rPr>
                <w:rFonts w:hint="eastAsia" w:ascii="仿宋_GB2312" w:hAnsi="仿宋_GB2312" w:eastAsia="仿宋_GB2312" w:cs="仿宋_GB2312"/>
                <w:b/>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6"/>
                <w:kern w:val="0"/>
                <w:sz w:val="20"/>
                <w:szCs w:val="20"/>
                <w:lang w:val="en-US" w:eastAsia="en-US" w:bidi="ar-SA"/>
              </w:rPr>
              <w:t>评定时间</w:t>
            </w:r>
          </w:p>
        </w:tc>
      </w:tr>
      <w:tr w14:paraId="61D2D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tcBorders>
              <w:top w:val="single" w:color="auto" w:sz="4" w:space="0"/>
              <w:left w:val="single" w:color="auto" w:sz="4" w:space="0"/>
              <w:right w:val="single" w:color="auto" w:sz="4" w:space="0"/>
            </w:tcBorders>
            <w:noWrap w:val="0"/>
            <w:vAlign w:val="center"/>
          </w:tcPr>
          <w:p w14:paraId="2A33F391">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default" w:ascii="仿宋_GB2312" w:hAnsi="仿宋_GB2312" w:eastAsia="仿宋_GB2312" w:cs="仿宋_GB2312"/>
                <w:b/>
                <w:bCs/>
                <w:snapToGrid w:val="0"/>
                <w:color w:val="000000"/>
                <w:spacing w:val="-1"/>
                <w:kern w:val="0"/>
                <w:sz w:val="20"/>
                <w:szCs w:val="20"/>
                <w:lang w:val="en-US" w:eastAsia="zh-CN" w:bidi="ar-SA"/>
              </w:rPr>
            </w:pPr>
            <w:r>
              <w:rPr>
                <w:rFonts w:hint="eastAsia" w:ascii="仿宋_GB2312" w:hAnsi="仿宋_GB2312" w:eastAsia="仿宋_GB2312" w:cs="仿宋_GB2312"/>
                <w:b/>
                <w:bCs/>
                <w:snapToGrid w:val="0"/>
                <w:color w:val="000000"/>
                <w:spacing w:val="-1"/>
                <w:kern w:val="0"/>
                <w:sz w:val="20"/>
                <w:szCs w:val="20"/>
                <w:lang w:val="en-US" w:eastAsia="zh-CN" w:bidi="ar-SA"/>
              </w:rPr>
              <w:t>旅游度假区</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04AB42DA">
            <w:pPr>
              <w:keepNext w:val="0"/>
              <w:keepLines w:val="0"/>
              <w:pageBreakBefore w:val="0"/>
              <w:widowControl/>
              <w:kinsoku w:val="0"/>
              <w:wordWrap/>
              <w:overflowPunct/>
              <w:topLinePunct w:val="0"/>
              <w:autoSpaceDE w:val="0"/>
              <w:autoSpaceDN w:val="0"/>
              <w:bidi w:val="0"/>
              <w:adjustRightInd w:val="0"/>
              <w:snapToGrid w:val="0"/>
              <w:spacing w:before="51"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1</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53744A7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宋体" w:hAnsi="宋体" w:eastAsia="宋体" w:cs="宋体"/>
                <w:snapToGrid w:val="0"/>
                <w:color w:val="00000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石梅湾国家级旅游度假区</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5DA5BB9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国家级</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0F55A00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2024年</w:t>
            </w:r>
          </w:p>
        </w:tc>
      </w:tr>
      <w:tr w14:paraId="75E8E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restart"/>
            <w:tcBorders>
              <w:top w:val="single" w:color="auto" w:sz="4" w:space="0"/>
              <w:left w:val="single" w:color="auto" w:sz="4" w:space="0"/>
              <w:right w:val="single" w:color="auto" w:sz="4" w:space="0"/>
            </w:tcBorders>
            <w:noWrap w:val="0"/>
            <w:vAlign w:val="center"/>
          </w:tcPr>
          <w:p w14:paraId="58D8A6B8">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44"/>
                <w:kern w:val="0"/>
                <w:sz w:val="20"/>
                <w:szCs w:val="20"/>
                <w:lang w:val="en-US" w:eastAsia="en-US" w:bidi="ar-SA"/>
              </w:rPr>
              <w:t xml:space="preserve"> </w:t>
            </w:r>
            <w:r>
              <w:rPr>
                <w:rFonts w:hint="eastAsia" w:ascii="仿宋_GB2312" w:hAnsi="仿宋_GB2312" w:eastAsia="仿宋_GB2312" w:cs="仿宋_GB2312"/>
                <w:b/>
                <w:bCs/>
                <w:snapToGrid w:val="0"/>
                <w:color w:val="000000"/>
                <w:spacing w:val="-1"/>
                <w:kern w:val="0"/>
                <w:sz w:val="20"/>
                <w:szCs w:val="20"/>
                <w:lang w:val="en-US" w:eastAsia="en-US" w:bidi="ar-SA"/>
              </w:rPr>
              <w:t>A</w:t>
            </w:r>
            <w:r>
              <w:rPr>
                <w:rFonts w:hint="eastAsia" w:ascii="仿宋_GB2312" w:hAnsi="仿宋_GB2312" w:eastAsia="仿宋_GB2312" w:cs="仿宋_GB2312"/>
                <w:b/>
                <w:bCs/>
                <w:snapToGrid w:val="0"/>
                <w:color w:val="000000"/>
                <w:spacing w:val="-35"/>
                <w:kern w:val="0"/>
                <w:sz w:val="20"/>
                <w:szCs w:val="20"/>
                <w:lang w:val="en-US" w:eastAsia="en-US" w:bidi="ar-SA"/>
              </w:rPr>
              <w:t xml:space="preserve"> </w:t>
            </w:r>
            <w:r>
              <w:rPr>
                <w:rFonts w:hint="eastAsia" w:ascii="仿宋_GB2312" w:hAnsi="仿宋_GB2312" w:eastAsia="仿宋_GB2312" w:cs="仿宋_GB2312"/>
                <w:b/>
                <w:bCs/>
                <w:snapToGrid w:val="0"/>
                <w:color w:val="000000"/>
                <w:spacing w:val="-1"/>
                <w:kern w:val="0"/>
                <w:sz w:val="20"/>
                <w:szCs w:val="20"/>
                <w:lang w:val="en-US" w:eastAsia="en-US" w:bidi="ar-SA"/>
              </w:rPr>
              <w:t>级旅</w:t>
            </w:r>
            <w:r>
              <w:rPr>
                <w:rFonts w:hint="eastAsia" w:ascii="仿宋_GB2312" w:hAnsi="仿宋_GB2312" w:eastAsia="仿宋_GB2312" w:cs="仿宋_GB2312"/>
                <w:b/>
                <w:bCs/>
                <w:snapToGrid w:val="0"/>
                <w:color w:val="000000"/>
                <w:spacing w:val="6"/>
                <w:kern w:val="0"/>
                <w:sz w:val="20"/>
                <w:szCs w:val="20"/>
                <w:lang w:val="en-US" w:eastAsia="en-US" w:bidi="ar-SA"/>
              </w:rPr>
              <w:t>游景区</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2CBF4ACB">
            <w:pPr>
              <w:keepNext w:val="0"/>
              <w:keepLines w:val="0"/>
              <w:pageBreakBefore w:val="0"/>
              <w:widowControl/>
              <w:kinsoku w:val="0"/>
              <w:wordWrap/>
              <w:overflowPunct/>
              <w:topLinePunct w:val="0"/>
              <w:autoSpaceDE w:val="0"/>
              <w:autoSpaceDN w:val="0"/>
              <w:bidi w:val="0"/>
              <w:adjustRightInd w:val="0"/>
              <w:snapToGrid w:val="0"/>
              <w:spacing w:before="51"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1</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24775B0E">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万宁兴隆热带植物园</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7C35817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1C05566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cs="仿宋_GB2312"/>
                <w:snapToGrid w:val="0"/>
                <w:color w:val="000000"/>
                <w:spacing w:val="0"/>
                <w:kern w:val="0"/>
                <w:sz w:val="20"/>
                <w:szCs w:val="20"/>
                <w:lang w:val="en-US" w:eastAsia="zh-CN" w:bidi="ar-SA"/>
              </w:rPr>
              <w:t>13</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44BA1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50513EE7">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732D027E">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2</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42A94F9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东山岭文化旅游区</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13B0665E">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5D55A48D">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cs="仿宋_GB2312"/>
                <w:snapToGrid w:val="0"/>
                <w:color w:val="000000"/>
                <w:spacing w:val="0"/>
                <w:kern w:val="0"/>
                <w:sz w:val="20"/>
                <w:szCs w:val="20"/>
                <w:lang w:val="en-US" w:eastAsia="zh-CN" w:bidi="ar-SA"/>
              </w:rPr>
              <w:t>25</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44D14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14D73FCA">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339F1C34">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3</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7F3AD48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巴厘村景区</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2AD3E15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2D5DD58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19</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D993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27329127">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2907EDB9">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4</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155B7CE3">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兴隆南药园</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337A5C0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08A256E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3</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529E6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6A06CD73">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5E5A7669">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5</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322DA783">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兴隆咖啡文化园</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378302E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4D41BDD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25</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2F64D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310A3D2C">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4D05F229">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6</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19DF907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石梅湾M1咖啡奇幻工场</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3C52137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0F614C8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25</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0C09D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bottom w:val="single" w:color="auto" w:sz="4" w:space="0"/>
              <w:right w:val="single" w:color="auto" w:sz="4" w:space="0"/>
            </w:tcBorders>
            <w:noWrap w:val="0"/>
            <w:vAlign w:val="center"/>
          </w:tcPr>
          <w:p w14:paraId="62B0890B">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7278A966">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7</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22CAE9D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六连岭革命纪念地景区</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2463BCB7">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AA</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43AF0D0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23</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8886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restart"/>
            <w:tcBorders>
              <w:left w:val="single" w:color="auto" w:sz="4" w:space="0"/>
              <w:right w:val="single" w:color="auto" w:sz="4" w:space="0"/>
            </w:tcBorders>
            <w:noWrap w:val="0"/>
            <w:vAlign w:val="center"/>
          </w:tcPr>
          <w:p w14:paraId="70AE4B20">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r>
              <w:rPr>
                <w:rFonts w:hint="eastAsia" w:ascii="仿宋_GB2312" w:hAnsi="仿宋_GB2312" w:eastAsia="仿宋_GB2312" w:cs="仿宋_GB2312"/>
                <w:b/>
                <w:bCs/>
                <w:snapToGrid w:val="0"/>
                <w:color w:val="000000"/>
                <w:spacing w:val="7"/>
                <w:kern w:val="0"/>
                <w:sz w:val="20"/>
                <w:szCs w:val="20"/>
                <w:lang w:val="en-US" w:eastAsia="zh-CN" w:bidi="ar-SA"/>
              </w:rPr>
              <w:t>旅游休闲街区</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1988DDD8">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1</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7449A92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en-US" w:bidi="ar-SA"/>
              </w:rPr>
              <w:t>王府井</w:t>
            </w:r>
            <w:r>
              <w:rPr>
                <w:rFonts w:hint="eastAsia" w:cs="仿宋_GB2312"/>
                <w:snapToGrid w:val="0"/>
                <w:color w:val="000000"/>
                <w:spacing w:val="0"/>
                <w:kern w:val="0"/>
                <w:sz w:val="20"/>
                <w:szCs w:val="20"/>
                <w:lang w:val="en-US" w:eastAsia="zh-CN" w:bidi="ar-SA"/>
              </w:rPr>
              <w:t>悦舞小镇</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7B784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省级</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41785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202</w:t>
            </w:r>
            <w:r>
              <w:rPr>
                <w:rFonts w:hint="eastAsia" w:cs="仿宋_GB2312"/>
                <w:snapToGrid w:val="0"/>
                <w:color w:val="000000"/>
                <w:spacing w:val="0"/>
                <w:kern w:val="0"/>
                <w:sz w:val="20"/>
                <w:szCs w:val="20"/>
                <w:lang w:val="en-US" w:eastAsia="zh-CN" w:bidi="ar-SA"/>
              </w:rPr>
              <w:t>3</w:t>
            </w:r>
            <w:r>
              <w:rPr>
                <w:rFonts w:hint="eastAsia" w:ascii="仿宋_GB2312" w:hAnsi="仿宋_GB2312" w:eastAsia="仿宋_GB2312" w:cs="仿宋_GB2312"/>
                <w:snapToGrid w:val="0"/>
                <w:color w:val="000000"/>
                <w:spacing w:val="0"/>
                <w:kern w:val="0"/>
                <w:sz w:val="20"/>
                <w:szCs w:val="20"/>
                <w:lang w:val="en-US" w:eastAsia="zh-CN" w:bidi="ar-SA"/>
              </w:rPr>
              <w:t>年</w:t>
            </w:r>
          </w:p>
        </w:tc>
      </w:tr>
      <w:tr w14:paraId="78C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bottom w:val="single" w:color="auto" w:sz="4" w:space="0"/>
              <w:right w:val="single" w:color="auto" w:sz="4" w:space="0"/>
            </w:tcBorders>
            <w:noWrap w:val="0"/>
            <w:vAlign w:val="center"/>
          </w:tcPr>
          <w:p w14:paraId="3A4E2459">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2982C457">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2</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32DE3DF7">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石梅湾九里旅游休闲街区</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53C31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省级</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F5096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2025年</w:t>
            </w:r>
          </w:p>
        </w:tc>
      </w:tr>
      <w:tr w14:paraId="65B61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tcBorders>
              <w:left w:val="single" w:color="auto" w:sz="4" w:space="0"/>
              <w:bottom w:val="single" w:color="auto" w:sz="4" w:space="0"/>
              <w:right w:val="single" w:color="auto" w:sz="4" w:space="0"/>
            </w:tcBorders>
            <w:shd w:val="clear" w:color="auto" w:fill="auto"/>
            <w:noWrap w:val="0"/>
            <w:vAlign w:val="center"/>
          </w:tcPr>
          <w:p w14:paraId="727568F3">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val="en-US" w:eastAsia="en-US" w:bidi="ar-SA"/>
              </w:rPr>
            </w:pPr>
            <w:r>
              <w:rPr>
                <w:rFonts w:hint="eastAsia" w:ascii="仿宋_GB2312" w:hAnsi="仿宋_GB2312" w:eastAsia="仿宋_GB2312" w:cs="仿宋_GB2312"/>
                <w:b/>
                <w:bCs/>
                <w:snapToGrid w:val="0"/>
                <w:color w:val="000000"/>
                <w:spacing w:val="-1"/>
                <w:kern w:val="0"/>
                <w:sz w:val="20"/>
                <w:szCs w:val="20"/>
                <w:lang w:val="en-US" w:eastAsia="en-US" w:bidi="ar-SA"/>
              </w:rPr>
              <w:t>全国乡村旅游重点村</w:t>
            </w:r>
          </w:p>
        </w:tc>
        <w:tc>
          <w:tcPr>
            <w:tcW w:w="57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89EB36">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1</w:t>
            </w:r>
          </w:p>
        </w:tc>
        <w:tc>
          <w:tcPr>
            <w:tcW w:w="50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DC1807">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cs="仿宋_GB2312"/>
                <w:snapToGrid w:val="0"/>
                <w:color w:val="000000"/>
                <w:kern w:val="0"/>
                <w:sz w:val="20"/>
                <w:szCs w:val="20"/>
                <w:lang w:eastAsia="en-US"/>
              </w:rPr>
              <w:t>万宁市兴隆华侨农场57队</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BA516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国家级</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AEDCC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795B3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restart"/>
            <w:tcBorders>
              <w:top w:val="single" w:color="auto" w:sz="4" w:space="0"/>
              <w:left w:val="single" w:color="auto" w:sz="4" w:space="0"/>
              <w:bottom w:val="single" w:color="auto" w:sz="4" w:space="0"/>
              <w:right w:val="single" w:color="auto" w:sz="4" w:space="0"/>
            </w:tcBorders>
            <w:noWrap w:val="0"/>
            <w:vAlign w:val="center"/>
          </w:tcPr>
          <w:p w14:paraId="7F23AB14">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8"/>
                <w:kern w:val="0"/>
                <w:sz w:val="20"/>
                <w:szCs w:val="20"/>
                <w:lang w:val="en-US" w:eastAsia="en-US" w:bidi="ar-SA"/>
              </w:rPr>
              <w:t>椰级乡村旅</w:t>
            </w:r>
            <w:r>
              <w:rPr>
                <w:rFonts w:hint="eastAsia" w:ascii="仿宋_GB2312" w:hAnsi="仿宋_GB2312" w:eastAsia="仿宋_GB2312" w:cs="仿宋_GB2312"/>
                <w:b/>
                <w:bCs/>
                <w:snapToGrid w:val="0"/>
                <w:color w:val="000000"/>
                <w:spacing w:val="4"/>
                <w:kern w:val="0"/>
                <w:sz w:val="20"/>
                <w:szCs w:val="20"/>
                <w:lang w:val="en-US" w:eastAsia="en-US" w:bidi="ar-SA"/>
              </w:rPr>
              <w:t>游点</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1934D35F">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1</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1DD936A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万宁市兴隆镇兴隆咖啡谷</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华侨农场10、11队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42EA8DA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zh-CN" w:bidi="ar-SA"/>
              </w:rPr>
              <w:t>五</w:t>
            </w:r>
            <w:r>
              <w:rPr>
                <w:rFonts w:hint="eastAsia" w:ascii="仿宋_GB2312" w:hAnsi="仿宋_GB2312" w:eastAsia="仿宋_GB2312" w:cs="仿宋_GB2312"/>
                <w:snapToGrid w:val="0"/>
                <w:color w:val="000000"/>
                <w:kern w:val="0"/>
                <w:sz w:val="20"/>
                <w:szCs w:val="20"/>
                <w:lang w:val="en-US" w:eastAsia="en-US" w:bidi="ar-SA"/>
              </w:rPr>
              <w:t>椰级</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57061F6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565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single" w:color="auto" w:sz="4" w:space="0"/>
              <w:left w:val="single" w:color="auto" w:sz="4" w:space="0"/>
              <w:bottom w:val="single" w:color="auto" w:sz="4" w:space="0"/>
              <w:right w:val="single" w:color="auto" w:sz="4" w:space="0"/>
            </w:tcBorders>
            <w:noWrap w:val="0"/>
            <w:vAlign w:val="center"/>
          </w:tcPr>
          <w:p w14:paraId="4A0232D5">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528F957A">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2</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234A830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万宁市兴隆神龟山庄</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华侨农场57队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1649A11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zh-CN" w:bidi="ar-SA"/>
              </w:rPr>
              <w:t>五</w:t>
            </w:r>
            <w:r>
              <w:rPr>
                <w:rFonts w:hint="eastAsia" w:ascii="仿宋_GB2312" w:hAnsi="仿宋_GB2312" w:eastAsia="仿宋_GB2312" w:cs="仿宋_GB2312"/>
                <w:snapToGrid w:val="0"/>
                <w:color w:val="000000"/>
                <w:kern w:val="0"/>
                <w:sz w:val="20"/>
                <w:szCs w:val="20"/>
                <w:lang w:val="en-US" w:eastAsia="en-US" w:bidi="ar-SA"/>
              </w:rPr>
              <w:t>椰级</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17D2CFB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14E0F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single" w:color="auto" w:sz="4" w:space="0"/>
              <w:left w:val="single" w:color="auto" w:sz="4" w:space="0"/>
              <w:bottom w:val="single" w:color="auto" w:sz="4" w:space="0"/>
              <w:right w:val="single" w:color="auto" w:sz="4" w:space="0"/>
            </w:tcBorders>
            <w:noWrap w:val="0"/>
            <w:vAlign w:val="center"/>
          </w:tcPr>
          <w:p w14:paraId="26D5E49E">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5B0457BA">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3</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2C0AA5A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万宁市长丰镇文通梦想庄园</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文通村</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9217B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四</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70FBE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18</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5FBD1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single" w:color="auto" w:sz="4" w:space="0"/>
              <w:left w:val="single" w:color="auto" w:sz="4" w:space="0"/>
              <w:bottom w:val="single" w:color="auto" w:sz="4" w:space="0"/>
              <w:right w:val="single" w:color="auto" w:sz="4" w:space="0"/>
            </w:tcBorders>
            <w:noWrap w:val="0"/>
            <w:vAlign w:val="center"/>
          </w:tcPr>
          <w:p w14:paraId="74209BEA">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53933486">
            <w:pPr>
              <w:keepNext w:val="0"/>
              <w:keepLines w:val="0"/>
              <w:pageBreakBefore w:val="0"/>
              <w:widowControl/>
              <w:kinsoku w:val="0"/>
              <w:wordWrap/>
              <w:overflowPunct/>
              <w:topLinePunct w:val="0"/>
              <w:autoSpaceDE w:val="0"/>
              <w:autoSpaceDN w:val="0"/>
              <w:bidi w:val="0"/>
              <w:adjustRightInd w:val="0"/>
              <w:snapToGrid w:val="0"/>
              <w:spacing w:before="52"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4</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415BC74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万宁市山根镇排溪椰林渔舍</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排溪</w:t>
            </w:r>
            <w:r>
              <w:rPr>
                <w:rFonts w:hint="eastAsia" w:ascii="仿宋_GB2312" w:hAnsi="仿宋_GB2312" w:eastAsia="仿宋_GB2312" w:cs="仿宋_GB2312"/>
                <w:snapToGrid w:val="0"/>
                <w:color w:val="000000"/>
                <w:kern w:val="0"/>
                <w:sz w:val="20"/>
                <w:szCs w:val="20"/>
                <w:lang w:val="en-US" w:eastAsia="en-US" w:bidi="ar-SA"/>
              </w:rPr>
              <w:t>村）</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AC8D77">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四</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13403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67981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single" w:color="auto" w:sz="4" w:space="0"/>
              <w:left w:val="single" w:color="auto" w:sz="4" w:space="0"/>
              <w:bottom w:val="single" w:color="auto" w:sz="4" w:space="0"/>
              <w:right w:val="single" w:color="auto" w:sz="4" w:space="0"/>
            </w:tcBorders>
            <w:noWrap w:val="0"/>
            <w:vAlign w:val="center"/>
          </w:tcPr>
          <w:p w14:paraId="55525DB1">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76E72C32">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5</w:t>
            </w:r>
          </w:p>
        </w:tc>
        <w:tc>
          <w:tcPr>
            <w:tcW w:w="5002" w:type="dxa"/>
            <w:tcBorders>
              <w:top w:val="single" w:color="auto" w:sz="4" w:space="0"/>
              <w:left w:val="single" w:color="auto" w:sz="4" w:space="0"/>
            </w:tcBorders>
            <w:noWrap w:val="0"/>
            <w:vAlign w:val="center"/>
          </w:tcPr>
          <w:p w14:paraId="3908687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万宁市兴隆隆苑咖啡庄园</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兴隆农场30队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tcBorders>
              <w:top w:val="single" w:color="auto" w:sz="4" w:space="0"/>
            </w:tcBorders>
            <w:noWrap w:val="0"/>
            <w:vAlign w:val="center"/>
          </w:tcPr>
          <w:p w14:paraId="2F1EBB7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四</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tcBorders>
              <w:top w:val="single" w:color="auto" w:sz="4" w:space="0"/>
            </w:tcBorders>
            <w:noWrap w:val="0"/>
            <w:vAlign w:val="center"/>
          </w:tcPr>
          <w:p w14:paraId="54C650B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74ED2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single" w:color="auto" w:sz="4" w:space="0"/>
              <w:left w:val="single" w:color="auto" w:sz="4" w:space="0"/>
              <w:bottom w:val="nil"/>
            </w:tcBorders>
            <w:noWrap w:val="0"/>
            <w:vAlign w:val="center"/>
          </w:tcPr>
          <w:p w14:paraId="5A8E3514">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top w:val="single" w:color="auto" w:sz="4" w:space="0"/>
            </w:tcBorders>
            <w:noWrap w:val="0"/>
            <w:vAlign w:val="center"/>
          </w:tcPr>
          <w:p w14:paraId="7D010965">
            <w:pPr>
              <w:keepNext w:val="0"/>
              <w:keepLines w:val="0"/>
              <w:pageBreakBefore w:val="0"/>
              <w:widowControl/>
              <w:kinsoku w:val="0"/>
              <w:wordWrap/>
              <w:overflowPunct/>
              <w:topLinePunct w:val="0"/>
              <w:autoSpaceDE w:val="0"/>
              <w:autoSpaceDN w:val="0"/>
              <w:bidi w:val="0"/>
              <w:adjustRightInd w:val="0"/>
              <w:snapToGrid w:val="0"/>
              <w:spacing w:before="54"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6</w:t>
            </w:r>
          </w:p>
        </w:tc>
        <w:tc>
          <w:tcPr>
            <w:tcW w:w="5002" w:type="dxa"/>
            <w:noWrap w:val="0"/>
            <w:vAlign w:val="center"/>
          </w:tcPr>
          <w:p w14:paraId="14D580A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万宁市万城镇万宁乡土文化</w:t>
            </w:r>
            <w:r>
              <w:rPr>
                <w:rFonts w:hint="eastAsia" w:ascii="仿宋_GB2312" w:hAnsi="仿宋_GB2312" w:eastAsia="仿宋_GB2312" w:cs="仿宋_GB2312"/>
                <w:snapToGrid w:val="0"/>
                <w:color w:val="000000"/>
                <w:spacing w:val="0"/>
                <w:kern w:val="0"/>
                <w:sz w:val="20"/>
                <w:szCs w:val="20"/>
                <w:lang w:val="en-US" w:eastAsia="en-US" w:bidi="ar-SA"/>
              </w:rPr>
              <w:t>旅游点</w:t>
            </w:r>
            <w:r>
              <w:rPr>
                <w:rFonts w:hint="eastAsia" w:ascii="仿宋_GB2312" w:hAnsi="仿宋_GB2312" w:eastAsia="仿宋_GB2312" w:cs="仿宋_GB2312"/>
                <w:snapToGrid w:val="0"/>
                <w:color w:val="000000"/>
                <w:spacing w:val="0"/>
                <w:kern w:val="0"/>
                <w:sz w:val="20"/>
                <w:szCs w:val="20"/>
                <w:lang w:val="en-US" w:eastAsia="zh-CN" w:bidi="ar-SA"/>
              </w:rPr>
              <w:t>（溪边</w:t>
            </w:r>
            <w:r>
              <w:rPr>
                <w:rFonts w:hint="eastAsia" w:ascii="仿宋_GB2312" w:hAnsi="仿宋_GB2312" w:eastAsia="仿宋_GB2312" w:cs="仿宋_GB2312"/>
                <w:snapToGrid w:val="0"/>
                <w:color w:val="000000"/>
                <w:spacing w:val="0"/>
                <w:kern w:val="0"/>
                <w:sz w:val="20"/>
                <w:szCs w:val="20"/>
                <w:lang w:val="en-US" w:eastAsia="en-US" w:bidi="ar-SA"/>
              </w:rPr>
              <w:t>村）</w:t>
            </w:r>
          </w:p>
        </w:tc>
        <w:tc>
          <w:tcPr>
            <w:tcW w:w="858" w:type="dxa"/>
            <w:noWrap w:val="0"/>
            <w:vAlign w:val="center"/>
          </w:tcPr>
          <w:p w14:paraId="6BBA015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四</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noWrap w:val="0"/>
            <w:vAlign w:val="center"/>
          </w:tcPr>
          <w:p w14:paraId="544DA70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6E07F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1857CB46">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24BBA967">
            <w:pPr>
              <w:keepNext w:val="0"/>
              <w:keepLines w:val="0"/>
              <w:pageBreakBefore w:val="0"/>
              <w:widowControl/>
              <w:kinsoku w:val="0"/>
              <w:wordWrap/>
              <w:overflowPunct/>
              <w:topLinePunct w:val="0"/>
              <w:autoSpaceDE w:val="0"/>
              <w:autoSpaceDN w:val="0"/>
              <w:bidi w:val="0"/>
              <w:adjustRightInd w:val="0"/>
              <w:snapToGrid w:val="0"/>
              <w:spacing w:before="54"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7</w:t>
            </w:r>
          </w:p>
        </w:tc>
        <w:tc>
          <w:tcPr>
            <w:tcW w:w="5002" w:type="dxa"/>
            <w:noWrap w:val="0"/>
            <w:vAlign w:val="center"/>
          </w:tcPr>
          <w:p w14:paraId="529FD63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万宁市兴隆金叶桃园（二十七队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noWrap w:val="0"/>
            <w:vAlign w:val="center"/>
          </w:tcPr>
          <w:p w14:paraId="16255A2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四</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noWrap w:val="0"/>
            <w:vAlign w:val="center"/>
          </w:tcPr>
          <w:p w14:paraId="3E3629E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4</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19223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37F466A7">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59747133">
            <w:pPr>
              <w:keepNext w:val="0"/>
              <w:keepLines w:val="0"/>
              <w:pageBreakBefore w:val="0"/>
              <w:widowControl/>
              <w:kinsoku w:val="0"/>
              <w:wordWrap/>
              <w:overflowPunct/>
              <w:topLinePunct w:val="0"/>
              <w:autoSpaceDE w:val="0"/>
              <w:autoSpaceDN w:val="0"/>
              <w:bidi w:val="0"/>
              <w:adjustRightInd w:val="0"/>
              <w:snapToGrid w:val="0"/>
              <w:spacing w:before="54"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8</w:t>
            </w:r>
          </w:p>
        </w:tc>
        <w:tc>
          <w:tcPr>
            <w:tcW w:w="5002" w:type="dxa"/>
            <w:noWrap w:val="0"/>
            <w:vAlign w:val="center"/>
          </w:tcPr>
          <w:p w14:paraId="60D0AE8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万宁市兴隆橄榄山庄</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华侨农场32队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noWrap w:val="0"/>
            <w:vAlign w:val="center"/>
          </w:tcPr>
          <w:p w14:paraId="7EE5833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noWrap w:val="0"/>
            <w:vAlign w:val="center"/>
          </w:tcPr>
          <w:p w14:paraId="3812943E">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18</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2479A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3B577A3C">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061C14BE">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9</w:t>
            </w:r>
          </w:p>
        </w:tc>
        <w:tc>
          <w:tcPr>
            <w:tcW w:w="5002" w:type="dxa"/>
            <w:noWrap w:val="0"/>
            <w:vAlign w:val="center"/>
          </w:tcPr>
          <w:p w14:paraId="6BA92BB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万宁市东澳镇蓝田渔村（蓝田</w:t>
            </w:r>
            <w:r>
              <w:rPr>
                <w:rFonts w:hint="eastAsia" w:ascii="仿宋_GB2312" w:hAnsi="仿宋_GB2312" w:eastAsia="仿宋_GB2312" w:cs="仿宋_GB2312"/>
                <w:snapToGrid w:val="0"/>
                <w:color w:val="000000"/>
                <w:spacing w:val="0"/>
                <w:kern w:val="0"/>
                <w:sz w:val="20"/>
                <w:szCs w:val="20"/>
                <w:lang w:val="en-US" w:eastAsia="en-US" w:bidi="ar-SA"/>
              </w:rPr>
              <w:t>村）</w:t>
            </w:r>
          </w:p>
        </w:tc>
        <w:tc>
          <w:tcPr>
            <w:tcW w:w="858" w:type="dxa"/>
            <w:noWrap w:val="0"/>
            <w:vAlign w:val="center"/>
          </w:tcPr>
          <w:p w14:paraId="5E2954A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noWrap w:val="0"/>
            <w:vAlign w:val="center"/>
          </w:tcPr>
          <w:p w14:paraId="12E77D6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141C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01FFBC33">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1526EA80">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10</w:t>
            </w:r>
          </w:p>
        </w:tc>
        <w:tc>
          <w:tcPr>
            <w:tcW w:w="5002" w:type="dxa"/>
            <w:noWrap w:val="0"/>
            <w:vAlign w:val="center"/>
          </w:tcPr>
          <w:p w14:paraId="0EA1643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万宁市长丰镇好鸟咖啡庄园</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双溪队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noWrap w:val="0"/>
            <w:vAlign w:val="center"/>
          </w:tcPr>
          <w:p w14:paraId="5ADEA2B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noWrap w:val="0"/>
            <w:vAlign w:val="center"/>
          </w:tcPr>
          <w:p w14:paraId="0A71AFE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6462C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3C3CEB68">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03D72852">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spacing w:val="-7"/>
                <w:kern w:val="0"/>
                <w:sz w:val="20"/>
                <w:szCs w:val="20"/>
                <w:lang w:val="en-US" w:eastAsia="zh-CN" w:bidi="ar-SA"/>
              </w:rPr>
            </w:pPr>
            <w:r>
              <w:rPr>
                <w:rFonts w:hint="eastAsia" w:cs="仿宋_GB2312"/>
                <w:snapToGrid w:val="0"/>
                <w:color w:val="000000"/>
                <w:spacing w:val="-7"/>
                <w:kern w:val="0"/>
                <w:sz w:val="20"/>
                <w:szCs w:val="20"/>
                <w:lang w:val="en-US" w:eastAsia="zh-CN" w:bidi="ar-SA"/>
              </w:rPr>
              <w:t>11</w:t>
            </w:r>
          </w:p>
        </w:tc>
        <w:tc>
          <w:tcPr>
            <w:tcW w:w="5002" w:type="dxa"/>
            <w:noWrap w:val="0"/>
            <w:vAlign w:val="center"/>
          </w:tcPr>
          <w:p w14:paraId="030112C6">
            <w:pPr>
              <w:keepNext w:val="0"/>
              <w:keepLines w:val="0"/>
              <w:pageBreakBefore w:val="0"/>
              <w:widowControl/>
              <w:tabs>
                <w:tab w:val="left" w:pos="1711"/>
              </w:tabs>
              <w:kinsoku w:val="0"/>
              <w:wordWrap/>
              <w:overflowPunct/>
              <w:topLinePunct w:val="0"/>
              <w:autoSpaceDE w:val="0"/>
              <w:autoSpaceDN w:val="0"/>
              <w:bidi w:val="0"/>
              <w:adjustRightInd w:val="0"/>
              <w:snapToGrid w:val="0"/>
              <w:spacing w:before="53" w:line="288" w:lineRule="auto"/>
              <w:ind w:left="0" w:leftChars="0" w:right="0" w:rightChars="0" w:firstLine="0" w:firstLineChars="0"/>
              <w:jc w:val="left"/>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ab/>
            </w:r>
            <w:r>
              <w:rPr>
                <w:rFonts w:hint="eastAsia" w:ascii="仿宋_GB2312" w:hAnsi="仿宋_GB2312" w:eastAsia="仿宋_GB2312" w:cs="仿宋_GB2312"/>
                <w:snapToGrid w:val="0"/>
                <w:color w:val="000000"/>
                <w:spacing w:val="0"/>
                <w:kern w:val="0"/>
                <w:sz w:val="20"/>
                <w:szCs w:val="20"/>
                <w:lang w:val="en-US" w:eastAsia="zh-CN" w:bidi="ar-SA"/>
              </w:rPr>
              <w:t>万宁市兴隆承隆山庄</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27队</w:t>
            </w:r>
            <w:r>
              <w:rPr>
                <w:rFonts w:hint="eastAsia" w:ascii="仿宋_GB2312" w:hAnsi="仿宋_GB2312" w:eastAsia="仿宋_GB2312" w:cs="仿宋_GB2312"/>
                <w:snapToGrid w:val="0"/>
                <w:color w:val="000000"/>
                <w:kern w:val="0"/>
                <w:sz w:val="20"/>
                <w:szCs w:val="20"/>
                <w:lang w:val="en-US" w:eastAsia="en-US" w:bidi="ar-SA"/>
              </w:rPr>
              <w:t>）</w:t>
            </w:r>
          </w:p>
        </w:tc>
        <w:tc>
          <w:tcPr>
            <w:tcW w:w="858" w:type="dxa"/>
            <w:shd w:val="clear" w:color="auto" w:fill="auto"/>
            <w:noWrap w:val="0"/>
            <w:vAlign w:val="center"/>
          </w:tcPr>
          <w:p w14:paraId="2E3B494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shd w:val="clear" w:color="auto" w:fill="auto"/>
            <w:noWrap w:val="0"/>
            <w:vAlign w:val="center"/>
          </w:tcPr>
          <w:p w14:paraId="4F9F62A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B73A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07ED7880">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66ED4CCF">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spacing w:val="-7"/>
                <w:kern w:val="0"/>
                <w:sz w:val="20"/>
                <w:szCs w:val="20"/>
                <w:lang w:val="en-US" w:eastAsia="zh-CN" w:bidi="ar-SA"/>
              </w:rPr>
            </w:pPr>
            <w:r>
              <w:rPr>
                <w:rFonts w:hint="eastAsia" w:cs="仿宋_GB2312"/>
                <w:snapToGrid w:val="0"/>
                <w:color w:val="000000"/>
                <w:spacing w:val="-7"/>
                <w:kern w:val="0"/>
                <w:sz w:val="20"/>
                <w:szCs w:val="20"/>
                <w:lang w:val="en-US" w:eastAsia="zh-CN" w:bidi="ar-SA"/>
              </w:rPr>
              <w:t>12</w:t>
            </w:r>
          </w:p>
        </w:tc>
        <w:tc>
          <w:tcPr>
            <w:tcW w:w="5002" w:type="dxa"/>
            <w:noWrap w:val="0"/>
            <w:vAlign w:val="center"/>
          </w:tcPr>
          <w:p w14:paraId="1A2C2140">
            <w:pPr>
              <w:keepNext w:val="0"/>
              <w:keepLines w:val="0"/>
              <w:pageBreakBefore w:val="0"/>
              <w:widowControl/>
              <w:tabs>
                <w:tab w:val="left" w:pos="1711"/>
              </w:tabs>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万宁市兴隆侨莊乡村旅游点（16队）</w:t>
            </w:r>
          </w:p>
        </w:tc>
        <w:tc>
          <w:tcPr>
            <w:tcW w:w="858" w:type="dxa"/>
            <w:shd w:val="clear" w:color="auto" w:fill="auto"/>
            <w:noWrap w:val="0"/>
            <w:vAlign w:val="center"/>
          </w:tcPr>
          <w:p w14:paraId="6ADEA00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shd w:val="clear" w:color="auto" w:fill="auto"/>
            <w:noWrap w:val="0"/>
            <w:vAlign w:val="center"/>
          </w:tcPr>
          <w:p w14:paraId="735D620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9201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3269052D">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62EDF444">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13</w:t>
            </w:r>
          </w:p>
        </w:tc>
        <w:tc>
          <w:tcPr>
            <w:tcW w:w="5002" w:type="dxa"/>
            <w:noWrap w:val="0"/>
            <w:vAlign w:val="center"/>
          </w:tcPr>
          <w:p w14:paraId="0CE8956A">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万宁市山根镇大石岭村</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大石岭</w:t>
            </w:r>
            <w:r>
              <w:rPr>
                <w:rFonts w:hint="eastAsia" w:ascii="仿宋_GB2312" w:hAnsi="仿宋_GB2312" w:eastAsia="仿宋_GB2312" w:cs="仿宋_GB2312"/>
                <w:snapToGrid w:val="0"/>
                <w:color w:val="000000"/>
                <w:spacing w:val="0"/>
                <w:kern w:val="0"/>
                <w:sz w:val="20"/>
                <w:szCs w:val="20"/>
                <w:lang w:val="en-US" w:eastAsia="en-US" w:bidi="ar-SA"/>
              </w:rPr>
              <w:t>村）</w:t>
            </w:r>
          </w:p>
        </w:tc>
        <w:tc>
          <w:tcPr>
            <w:tcW w:w="858" w:type="dxa"/>
            <w:noWrap w:val="0"/>
            <w:vAlign w:val="center"/>
          </w:tcPr>
          <w:p w14:paraId="77EAA20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noWrap w:val="0"/>
            <w:vAlign w:val="center"/>
          </w:tcPr>
          <w:p w14:paraId="56A9327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0140CB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06819250">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41AE776E">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14</w:t>
            </w:r>
          </w:p>
        </w:tc>
        <w:tc>
          <w:tcPr>
            <w:tcW w:w="5002" w:type="dxa"/>
            <w:noWrap w:val="0"/>
            <w:vAlign w:val="center"/>
          </w:tcPr>
          <w:p w14:paraId="50D7F98A">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万宁市北大镇东岭松云湾山庄</w:t>
            </w:r>
            <w:r>
              <w:rPr>
                <w:rFonts w:hint="eastAsia" w:ascii="仿宋_GB2312" w:hAnsi="仿宋_GB2312" w:eastAsia="仿宋_GB2312" w:cs="仿宋_GB2312"/>
                <w:snapToGrid w:val="0"/>
                <w:color w:val="000000"/>
                <w:spacing w:val="0"/>
                <w:kern w:val="0"/>
                <w:sz w:val="20"/>
                <w:szCs w:val="20"/>
                <w:lang w:val="en-US" w:eastAsia="en-US" w:bidi="ar-SA"/>
              </w:rPr>
              <w:t>（</w:t>
            </w:r>
            <w:r>
              <w:rPr>
                <w:rFonts w:hint="eastAsia" w:ascii="仿宋_GB2312" w:hAnsi="仿宋_GB2312" w:eastAsia="仿宋_GB2312" w:cs="仿宋_GB2312"/>
                <w:snapToGrid w:val="0"/>
                <w:color w:val="000000"/>
                <w:spacing w:val="0"/>
                <w:kern w:val="0"/>
                <w:sz w:val="20"/>
                <w:szCs w:val="20"/>
                <w:lang w:val="en-US" w:eastAsia="zh-CN" w:bidi="ar-SA"/>
              </w:rPr>
              <w:t>红星</w:t>
            </w:r>
            <w:r>
              <w:rPr>
                <w:rFonts w:hint="eastAsia" w:ascii="仿宋_GB2312" w:hAnsi="仿宋_GB2312" w:eastAsia="仿宋_GB2312" w:cs="仿宋_GB2312"/>
                <w:snapToGrid w:val="0"/>
                <w:color w:val="000000"/>
                <w:spacing w:val="0"/>
                <w:kern w:val="0"/>
                <w:sz w:val="20"/>
                <w:szCs w:val="20"/>
                <w:lang w:val="en-US" w:eastAsia="en-US" w:bidi="ar-SA"/>
              </w:rPr>
              <w:t>村）</w:t>
            </w:r>
          </w:p>
        </w:tc>
        <w:tc>
          <w:tcPr>
            <w:tcW w:w="858" w:type="dxa"/>
            <w:noWrap w:val="0"/>
            <w:vAlign w:val="center"/>
          </w:tcPr>
          <w:p w14:paraId="6C91C92D">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三椰级</w:t>
            </w:r>
          </w:p>
        </w:tc>
        <w:tc>
          <w:tcPr>
            <w:tcW w:w="925" w:type="dxa"/>
            <w:noWrap w:val="0"/>
            <w:vAlign w:val="center"/>
          </w:tcPr>
          <w:p w14:paraId="7771610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w:t>
            </w:r>
            <w:r>
              <w:rPr>
                <w:rFonts w:hint="eastAsia" w:ascii="仿宋_GB2312" w:hAnsi="仿宋_GB2312" w:eastAsia="仿宋_GB2312" w:cs="仿宋_GB2312"/>
                <w:snapToGrid w:val="0"/>
                <w:color w:val="000000"/>
                <w:spacing w:val="0"/>
                <w:kern w:val="0"/>
                <w:sz w:val="20"/>
                <w:szCs w:val="20"/>
                <w:lang w:val="en-US" w:eastAsia="zh-CN" w:bidi="ar-SA"/>
              </w:rPr>
              <w:t>22</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AB4B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32DEA2E3">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234C3273">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15</w:t>
            </w:r>
          </w:p>
        </w:tc>
        <w:tc>
          <w:tcPr>
            <w:tcW w:w="5002" w:type="dxa"/>
            <w:noWrap w:val="0"/>
            <w:vAlign w:val="center"/>
          </w:tcPr>
          <w:p w14:paraId="13BE90C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万宁市兴隆镇秀水山庄（合口队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noWrap w:val="0"/>
            <w:vAlign w:val="center"/>
          </w:tcPr>
          <w:p w14:paraId="6CB55ED1">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三</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noWrap w:val="0"/>
            <w:vAlign w:val="center"/>
          </w:tcPr>
          <w:p w14:paraId="078C50CA">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2023年</w:t>
            </w:r>
          </w:p>
        </w:tc>
      </w:tr>
      <w:tr w14:paraId="339B5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1AB98373">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09403920">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spacing w:val="-7"/>
                <w:kern w:val="0"/>
                <w:sz w:val="20"/>
                <w:szCs w:val="20"/>
                <w:lang w:val="en-US" w:eastAsia="zh-CN" w:bidi="ar-SA"/>
              </w:rPr>
            </w:pPr>
            <w:r>
              <w:rPr>
                <w:rFonts w:hint="eastAsia" w:cs="仿宋_GB2312"/>
                <w:snapToGrid w:val="0"/>
                <w:color w:val="000000"/>
                <w:spacing w:val="-7"/>
                <w:kern w:val="0"/>
                <w:sz w:val="20"/>
                <w:szCs w:val="20"/>
                <w:lang w:val="en-US" w:eastAsia="zh-CN" w:bidi="ar-SA"/>
              </w:rPr>
              <w:t>16</w:t>
            </w:r>
          </w:p>
        </w:tc>
        <w:tc>
          <w:tcPr>
            <w:tcW w:w="5002" w:type="dxa"/>
            <w:noWrap w:val="0"/>
            <w:vAlign w:val="center"/>
          </w:tcPr>
          <w:p w14:paraId="1CE38AA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万宁市长丰镇鹿湾牧场（长征队</w:t>
            </w:r>
            <w:r>
              <w:rPr>
                <w:rFonts w:hint="eastAsia" w:ascii="仿宋_GB2312" w:hAnsi="仿宋_GB2312" w:eastAsia="仿宋_GB2312" w:cs="仿宋_GB2312"/>
                <w:snapToGrid w:val="0"/>
                <w:color w:val="000000"/>
                <w:spacing w:val="0"/>
                <w:kern w:val="0"/>
                <w:sz w:val="20"/>
                <w:szCs w:val="20"/>
                <w:lang w:val="en-US" w:eastAsia="en-US" w:bidi="ar-SA"/>
              </w:rPr>
              <w:t>）</w:t>
            </w:r>
          </w:p>
        </w:tc>
        <w:tc>
          <w:tcPr>
            <w:tcW w:w="858" w:type="dxa"/>
            <w:shd w:val="clear" w:color="auto" w:fill="auto"/>
            <w:noWrap w:val="0"/>
            <w:vAlign w:val="center"/>
          </w:tcPr>
          <w:p w14:paraId="6942BB4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三</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shd w:val="clear" w:color="auto" w:fill="auto"/>
            <w:noWrap w:val="0"/>
            <w:vAlign w:val="center"/>
          </w:tcPr>
          <w:p w14:paraId="27156977">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2023年</w:t>
            </w:r>
          </w:p>
        </w:tc>
      </w:tr>
      <w:tr w14:paraId="24CE0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06002CA0">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04E8ECA7">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17</w:t>
            </w:r>
          </w:p>
        </w:tc>
        <w:tc>
          <w:tcPr>
            <w:tcW w:w="5002" w:type="dxa"/>
            <w:noWrap w:val="0"/>
            <w:vAlign w:val="center"/>
          </w:tcPr>
          <w:p w14:paraId="43D17FF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万宁市北大镇竹埇村</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竹埇</w:t>
            </w:r>
            <w:r>
              <w:rPr>
                <w:rFonts w:hint="eastAsia" w:ascii="仿宋_GB2312" w:hAnsi="仿宋_GB2312" w:eastAsia="仿宋_GB2312" w:cs="仿宋_GB2312"/>
                <w:snapToGrid w:val="0"/>
                <w:color w:val="000000"/>
                <w:spacing w:val="0"/>
                <w:kern w:val="0"/>
                <w:sz w:val="20"/>
                <w:szCs w:val="20"/>
                <w:lang w:val="en-US" w:eastAsia="en-US" w:bidi="ar-SA"/>
              </w:rPr>
              <w:t>村）</w:t>
            </w:r>
          </w:p>
        </w:tc>
        <w:tc>
          <w:tcPr>
            <w:tcW w:w="858" w:type="dxa"/>
            <w:noWrap w:val="0"/>
            <w:vAlign w:val="center"/>
          </w:tcPr>
          <w:p w14:paraId="7419235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三</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noWrap w:val="0"/>
            <w:vAlign w:val="center"/>
          </w:tcPr>
          <w:p w14:paraId="089155D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2018年</w:t>
            </w:r>
          </w:p>
        </w:tc>
      </w:tr>
      <w:tr w14:paraId="494E7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146723C2">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2ABBEC39">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18</w:t>
            </w:r>
          </w:p>
        </w:tc>
        <w:tc>
          <w:tcPr>
            <w:tcW w:w="5002" w:type="dxa"/>
            <w:noWrap w:val="0"/>
            <w:vAlign w:val="center"/>
          </w:tcPr>
          <w:p w14:paraId="5D75BE2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万宁市南桥镇桥南外村</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桥南外</w:t>
            </w:r>
            <w:r>
              <w:rPr>
                <w:rFonts w:hint="eastAsia" w:ascii="仿宋_GB2312" w:hAnsi="仿宋_GB2312" w:eastAsia="仿宋_GB2312" w:cs="仿宋_GB2312"/>
                <w:snapToGrid w:val="0"/>
                <w:color w:val="000000"/>
                <w:spacing w:val="0"/>
                <w:kern w:val="0"/>
                <w:sz w:val="20"/>
                <w:szCs w:val="20"/>
                <w:lang w:val="en-US" w:eastAsia="en-US" w:bidi="ar-SA"/>
              </w:rPr>
              <w:t>村）</w:t>
            </w:r>
          </w:p>
        </w:tc>
        <w:tc>
          <w:tcPr>
            <w:tcW w:w="858" w:type="dxa"/>
            <w:noWrap w:val="0"/>
            <w:vAlign w:val="center"/>
          </w:tcPr>
          <w:p w14:paraId="3CC5470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二椰级</w:t>
            </w:r>
          </w:p>
        </w:tc>
        <w:tc>
          <w:tcPr>
            <w:tcW w:w="925" w:type="dxa"/>
            <w:noWrap w:val="0"/>
            <w:vAlign w:val="center"/>
          </w:tcPr>
          <w:p w14:paraId="28785D5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2018年</w:t>
            </w:r>
          </w:p>
        </w:tc>
      </w:tr>
      <w:tr w14:paraId="63D11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5F28BF5D">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634E45EB">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7"/>
                <w:kern w:val="0"/>
                <w:sz w:val="20"/>
                <w:szCs w:val="20"/>
                <w:lang w:val="en-US" w:eastAsia="en-US" w:bidi="ar-SA"/>
              </w:rPr>
              <w:t>19</w:t>
            </w:r>
          </w:p>
        </w:tc>
        <w:tc>
          <w:tcPr>
            <w:tcW w:w="5002" w:type="dxa"/>
            <w:noWrap w:val="0"/>
            <w:vAlign w:val="center"/>
          </w:tcPr>
          <w:p w14:paraId="66CF201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万宁市北大镇尖岭村</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（尖岭村）</w:t>
            </w:r>
          </w:p>
        </w:tc>
        <w:tc>
          <w:tcPr>
            <w:tcW w:w="858" w:type="dxa"/>
            <w:noWrap w:val="0"/>
            <w:vAlign w:val="center"/>
          </w:tcPr>
          <w:p w14:paraId="67F23E97">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二</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noWrap w:val="0"/>
            <w:vAlign w:val="center"/>
          </w:tcPr>
          <w:p w14:paraId="4DA90FF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2020年</w:t>
            </w:r>
          </w:p>
        </w:tc>
      </w:tr>
      <w:tr w14:paraId="2DE4C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nil"/>
            </w:tcBorders>
            <w:noWrap w:val="0"/>
            <w:vAlign w:val="center"/>
          </w:tcPr>
          <w:p w14:paraId="3A1A3C96">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noWrap w:val="0"/>
            <w:vAlign w:val="center"/>
          </w:tcPr>
          <w:p w14:paraId="099B1AF4">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7"/>
                <w:kern w:val="0"/>
                <w:sz w:val="20"/>
                <w:szCs w:val="20"/>
                <w:lang w:val="en-US" w:eastAsia="en-US" w:bidi="ar-SA"/>
              </w:rPr>
            </w:pPr>
            <w:r>
              <w:rPr>
                <w:rFonts w:hint="eastAsia" w:ascii="仿宋_GB2312" w:hAnsi="仿宋_GB2312" w:eastAsia="仿宋_GB2312" w:cs="仿宋_GB2312"/>
                <w:snapToGrid w:val="0"/>
                <w:color w:val="000000"/>
                <w:spacing w:val="-1"/>
                <w:kern w:val="0"/>
                <w:sz w:val="20"/>
                <w:szCs w:val="20"/>
                <w:lang w:val="en-US" w:eastAsia="en-US" w:bidi="ar-SA"/>
              </w:rPr>
              <w:t>20</w:t>
            </w:r>
          </w:p>
        </w:tc>
        <w:tc>
          <w:tcPr>
            <w:tcW w:w="5002" w:type="dxa"/>
            <w:noWrap w:val="0"/>
            <w:vAlign w:val="center"/>
          </w:tcPr>
          <w:p w14:paraId="1B051AF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万宁市北大镇北大村</w:t>
            </w:r>
            <w:r>
              <w:rPr>
                <w:rFonts w:hint="eastAsia" w:ascii="仿宋_GB2312" w:hAnsi="仿宋_GB2312" w:eastAsia="仿宋_GB2312" w:cs="仿宋_GB2312"/>
                <w:snapToGrid w:val="0"/>
                <w:color w:val="000000"/>
                <w:spacing w:val="0"/>
                <w:kern w:val="0"/>
                <w:sz w:val="20"/>
                <w:szCs w:val="20"/>
                <w:lang w:val="en-US" w:eastAsia="en-US" w:bidi="ar-SA"/>
              </w:rPr>
              <w:t>乡村旅游点</w:t>
            </w:r>
            <w:r>
              <w:rPr>
                <w:rFonts w:hint="eastAsia" w:ascii="仿宋_GB2312" w:hAnsi="仿宋_GB2312" w:eastAsia="仿宋_GB2312" w:cs="仿宋_GB2312"/>
                <w:snapToGrid w:val="0"/>
                <w:color w:val="000000"/>
                <w:spacing w:val="0"/>
                <w:kern w:val="0"/>
                <w:sz w:val="20"/>
                <w:szCs w:val="20"/>
                <w:lang w:val="en-US" w:eastAsia="zh-CN" w:bidi="ar-SA"/>
              </w:rPr>
              <w:t>（北大村）</w:t>
            </w:r>
          </w:p>
        </w:tc>
        <w:tc>
          <w:tcPr>
            <w:tcW w:w="858" w:type="dxa"/>
            <w:noWrap w:val="0"/>
            <w:vAlign w:val="center"/>
          </w:tcPr>
          <w:p w14:paraId="27AA5EA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ascii="仿宋_GB2312" w:hAnsi="仿宋_GB2312" w:eastAsia="仿宋_GB2312" w:cs="仿宋_GB2312"/>
                <w:snapToGrid w:val="0"/>
                <w:color w:val="000000"/>
                <w:spacing w:val="0"/>
                <w:kern w:val="0"/>
                <w:sz w:val="20"/>
                <w:szCs w:val="20"/>
                <w:lang w:val="en-US" w:eastAsia="zh-CN" w:bidi="ar-SA"/>
              </w:rPr>
              <w:t>一</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noWrap w:val="0"/>
            <w:vAlign w:val="center"/>
          </w:tcPr>
          <w:p w14:paraId="57AB446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2020年</w:t>
            </w:r>
          </w:p>
        </w:tc>
      </w:tr>
      <w:tr w14:paraId="47E16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top w:val="nil"/>
              <w:left w:val="single" w:color="auto" w:sz="4" w:space="0"/>
              <w:bottom w:val="single" w:color="auto" w:sz="4" w:space="0"/>
            </w:tcBorders>
            <w:noWrap w:val="0"/>
            <w:vAlign w:val="center"/>
          </w:tcPr>
          <w:p w14:paraId="1275ECBB">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1"/>
                <w:lang w:eastAsia="en-US"/>
              </w:rPr>
            </w:pPr>
          </w:p>
        </w:tc>
        <w:tc>
          <w:tcPr>
            <w:tcW w:w="573" w:type="dxa"/>
            <w:tcBorders>
              <w:bottom w:val="single" w:color="auto" w:sz="4" w:space="0"/>
            </w:tcBorders>
            <w:noWrap w:val="0"/>
            <w:vAlign w:val="center"/>
          </w:tcPr>
          <w:p w14:paraId="4F7943FB">
            <w:pPr>
              <w:keepNext w:val="0"/>
              <w:keepLines w:val="0"/>
              <w:pageBreakBefore w:val="0"/>
              <w:widowControl/>
              <w:kinsoku w:val="0"/>
              <w:wordWrap/>
              <w:overflowPunct/>
              <w:topLinePunct w:val="0"/>
              <w:autoSpaceDE w:val="0"/>
              <w:autoSpaceDN w:val="0"/>
              <w:bidi w:val="0"/>
              <w:adjustRightInd w:val="0"/>
              <w:snapToGrid w:val="0"/>
              <w:spacing w:before="55"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21</w:t>
            </w:r>
          </w:p>
        </w:tc>
        <w:tc>
          <w:tcPr>
            <w:tcW w:w="5002" w:type="dxa"/>
            <w:tcBorders>
              <w:bottom w:val="single" w:color="auto" w:sz="4" w:space="0"/>
            </w:tcBorders>
            <w:noWrap w:val="0"/>
            <w:vAlign w:val="center"/>
          </w:tcPr>
          <w:p w14:paraId="653E1AD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万宁市南桥镇新坡村乡村旅游点（新坡村）</w:t>
            </w:r>
          </w:p>
        </w:tc>
        <w:tc>
          <w:tcPr>
            <w:tcW w:w="858" w:type="dxa"/>
            <w:tcBorders>
              <w:bottom w:val="single" w:color="auto" w:sz="4" w:space="0"/>
            </w:tcBorders>
            <w:noWrap w:val="0"/>
            <w:vAlign w:val="center"/>
          </w:tcPr>
          <w:p w14:paraId="350B31D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zh-CN" w:bidi="ar-SA"/>
              </w:rPr>
              <w:t>一</w:t>
            </w:r>
            <w:r>
              <w:rPr>
                <w:rFonts w:hint="eastAsia" w:ascii="仿宋_GB2312" w:hAnsi="仿宋_GB2312" w:eastAsia="仿宋_GB2312" w:cs="仿宋_GB2312"/>
                <w:snapToGrid w:val="0"/>
                <w:color w:val="000000"/>
                <w:spacing w:val="0"/>
                <w:kern w:val="0"/>
                <w:sz w:val="20"/>
                <w:szCs w:val="20"/>
                <w:lang w:val="en-US" w:eastAsia="en-US" w:bidi="ar-SA"/>
              </w:rPr>
              <w:t>椰级</w:t>
            </w:r>
          </w:p>
        </w:tc>
        <w:tc>
          <w:tcPr>
            <w:tcW w:w="925" w:type="dxa"/>
            <w:tcBorders>
              <w:bottom w:val="single" w:color="auto" w:sz="4" w:space="0"/>
            </w:tcBorders>
            <w:noWrap w:val="0"/>
            <w:vAlign w:val="center"/>
          </w:tcPr>
          <w:p w14:paraId="6113763E">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2020年</w:t>
            </w:r>
          </w:p>
        </w:tc>
      </w:tr>
      <w:tr w14:paraId="5B8C4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restart"/>
            <w:tcBorders>
              <w:top w:val="single" w:color="auto" w:sz="4" w:space="0"/>
              <w:left w:val="single" w:color="auto" w:sz="4" w:space="0"/>
              <w:right w:val="single" w:color="auto" w:sz="4" w:space="0"/>
            </w:tcBorders>
            <w:noWrap w:val="0"/>
            <w:vAlign w:val="center"/>
          </w:tcPr>
          <w:p w14:paraId="0B100831">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kern w:val="0"/>
                <w:sz w:val="20"/>
                <w:szCs w:val="20"/>
                <w:lang w:val="en-US" w:eastAsia="en-US" w:bidi="ar-SA"/>
              </w:rPr>
            </w:pPr>
            <w:r>
              <w:rPr>
                <w:rFonts w:hint="eastAsia" w:ascii="仿宋_GB2312" w:hAnsi="仿宋_GB2312" w:eastAsia="仿宋_GB2312" w:cs="仿宋_GB2312"/>
                <w:b/>
                <w:bCs/>
                <w:snapToGrid w:val="0"/>
                <w:color w:val="000000"/>
                <w:spacing w:val="-6"/>
                <w:kern w:val="0"/>
                <w:sz w:val="20"/>
                <w:szCs w:val="20"/>
                <w:lang w:val="en-US" w:eastAsia="zh-CN" w:bidi="ar-SA"/>
              </w:rPr>
              <w:t>等级</w:t>
            </w:r>
            <w:r>
              <w:rPr>
                <w:rFonts w:hint="eastAsia" w:ascii="仿宋_GB2312" w:hAnsi="仿宋_GB2312" w:eastAsia="仿宋_GB2312" w:cs="仿宋_GB2312"/>
                <w:b/>
                <w:bCs/>
                <w:snapToGrid w:val="0"/>
                <w:color w:val="000000"/>
                <w:spacing w:val="-6"/>
                <w:kern w:val="0"/>
                <w:sz w:val="20"/>
                <w:szCs w:val="20"/>
                <w:lang w:val="en-US" w:eastAsia="en-US" w:bidi="ar-SA"/>
              </w:rPr>
              <w:t>民宿</w:t>
            </w:r>
          </w:p>
        </w:tc>
        <w:tc>
          <w:tcPr>
            <w:tcW w:w="573" w:type="dxa"/>
            <w:tcBorders>
              <w:top w:val="single" w:color="auto" w:sz="4" w:space="0"/>
              <w:left w:val="single" w:color="auto" w:sz="4" w:space="0"/>
              <w:bottom w:val="single" w:color="auto" w:sz="4" w:space="0"/>
              <w:right w:val="single" w:color="auto" w:sz="4" w:space="0"/>
            </w:tcBorders>
            <w:noWrap w:val="0"/>
            <w:vAlign w:val="center"/>
          </w:tcPr>
          <w:p w14:paraId="18513458">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kern w:val="0"/>
                <w:sz w:val="20"/>
                <w:szCs w:val="20"/>
                <w:lang w:val="en-US" w:eastAsia="en-US" w:bidi="ar-SA"/>
              </w:rPr>
              <w:t>1</w:t>
            </w:r>
          </w:p>
        </w:tc>
        <w:tc>
          <w:tcPr>
            <w:tcW w:w="50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D36198">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万宁“唐先生的院子”</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A2767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cs="仿宋_GB2312"/>
                <w:snapToGrid w:val="0"/>
                <w:color w:val="000000"/>
                <w:spacing w:val="0"/>
                <w:kern w:val="0"/>
                <w:sz w:val="20"/>
                <w:szCs w:val="20"/>
                <w:lang w:val="en-US" w:eastAsia="zh-CN" w:bidi="ar-SA"/>
              </w:rPr>
              <w:t>金宿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45663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en-US" w:bidi="ar-SA"/>
              </w:rPr>
            </w:pPr>
            <w:r>
              <w:rPr>
                <w:rFonts w:hint="eastAsia" w:cs="仿宋_GB2312"/>
                <w:snapToGrid w:val="0"/>
                <w:color w:val="000000"/>
                <w:spacing w:val="0"/>
                <w:kern w:val="0"/>
                <w:sz w:val="20"/>
                <w:szCs w:val="20"/>
                <w:lang w:val="en-US" w:eastAsia="zh-CN" w:bidi="ar-SA"/>
              </w:rPr>
              <w:t>2023年</w:t>
            </w:r>
          </w:p>
        </w:tc>
      </w:tr>
      <w:tr w14:paraId="4DAC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1E82A6ED">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spacing w:val="-6"/>
                <w:kern w:val="0"/>
                <w:sz w:val="20"/>
                <w:szCs w:val="20"/>
                <w:lang w:val="en-US" w:eastAsia="zh-CN" w:bidi="ar-SA"/>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132BECE2">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2</w:t>
            </w:r>
          </w:p>
        </w:tc>
        <w:tc>
          <w:tcPr>
            <w:tcW w:w="50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E8C09B">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cs="仿宋_GB2312"/>
                <w:snapToGrid w:val="0"/>
                <w:color w:val="000000"/>
                <w:kern w:val="0"/>
                <w:sz w:val="20"/>
                <w:szCs w:val="20"/>
                <w:lang w:val="en-US" w:eastAsia="zh-CN" w:bidi="ar-SA"/>
              </w:rPr>
            </w:pPr>
            <w:r>
              <w:rPr>
                <w:rFonts w:hint="eastAsia" w:cs="仿宋_GB2312"/>
                <w:snapToGrid w:val="0"/>
                <w:color w:val="000000"/>
                <w:kern w:val="0"/>
                <w:sz w:val="20"/>
                <w:szCs w:val="20"/>
              </w:rPr>
              <w:t>万宁烟墩海壹号院子</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A3661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金宿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D20F2D">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2024年</w:t>
            </w:r>
          </w:p>
        </w:tc>
      </w:tr>
      <w:tr w14:paraId="586F9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06F8EDD1">
            <w:pPr>
              <w:keepNext w:val="0"/>
              <w:keepLines w:val="0"/>
              <w:pageBreakBefore w:val="0"/>
              <w:widowControl/>
              <w:kinsoku w:val="0"/>
              <w:wordWrap/>
              <w:overflowPunct/>
              <w:topLinePunct w:val="0"/>
              <w:autoSpaceDE w:val="0"/>
              <w:autoSpaceDN w:val="0"/>
              <w:bidi w:val="0"/>
              <w:adjustRightInd w:val="0"/>
              <w:snapToGrid w:val="0"/>
              <w:spacing w:before="65" w:line="288" w:lineRule="auto"/>
              <w:ind w:left="0" w:leftChars="0" w:right="0" w:rightChars="0" w:firstLine="0" w:firstLineChars="0"/>
              <w:jc w:val="center"/>
              <w:textAlignment w:val="baseline"/>
              <w:rPr>
                <w:rFonts w:hint="eastAsia" w:ascii="仿宋_GB2312" w:hAnsi="仿宋_GB2312" w:eastAsia="仿宋_GB2312" w:cs="仿宋_GB2312"/>
                <w:b/>
                <w:bCs/>
                <w:snapToGrid w:val="0"/>
                <w:color w:val="000000"/>
                <w:spacing w:val="-6"/>
                <w:kern w:val="0"/>
                <w:sz w:val="20"/>
                <w:szCs w:val="20"/>
                <w:lang w:val="en-US" w:eastAsia="zh-CN" w:bidi="ar-SA"/>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1554E8A0">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3</w:t>
            </w:r>
          </w:p>
        </w:tc>
        <w:tc>
          <w:tcPr>
            <w:tcW w:w="500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3CF0F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cs="仿宋_GB2312"/>
                <w:snapToGrid w:val="0"/>
                <w:color w:val="000000"/>
                <w:kern w:val="0"/>
                <w:sz w:val="20"/>
                <w:szCs w:val="20"/>
              </w:rPr>
            </w:pPr>
            <w:r>
              <w:rPr>
                <w:rFonts w:hint="eastAsia" w:cs="仿宋_GB2312"/>
                <w:snapToGrid w:val="0"/>
                <w:color w:val="000000"/>
                <w:kern w:val="0"/>
                <w:sz w:val="20"/>
                <w:szCs w:val="20"/>
              </w:rPr>
              <w:t>万宁和乐女儿家精品民宿</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31ACB3">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金宿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FE8D1D">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2020年</w:t>
            </w:r>
          </w:p>
        </w:tc>
      </w:tr>
      <w:tr w14:paraId="1F862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7A314F53">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1C5996F4">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4</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15D28700">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万宁芊寻民宿（日月湾）</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1C04644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银宿</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4F863D6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5</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12D4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2C765427">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2BD797C0">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5</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4D8B8B7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kern w:val="0"/>
                <w:sz w:val="20"/>
                <w:szCs w:val="20"/>
                <w:lang w:val="en-US" w:eastAsia="zh-CN" w:bidi="ar-SA"/>
              </w:rPr>
            </w:pPr>
            <w:r>
              <w:rPr>
                <w:rFonts w:hint="eastAsia" w:ascii="仿宋_GB2312" w:hAnsi="仿宋_GB2312" w:eastAsia="仿宋_GB2312" w:cs="仿宋_GB2312"/>
                <w:snapToGrid w:val="0"/>
                <w:color w:val="000000"/>
                <w:kern w:val="0"/>
                <w:sz w:val="20"/>
                <w:szCs w:val="20"/>
                <w:lang w:val="en-US" w:eastAsia="zh-CN" w:bidi="ar-SA"/>
              </w:rPr>
              <w:t>万宁壹号院民宿（日月湾）</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6EA111EC">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银宿</w:t>
            </w:r>
          </w:p>
        </w:tc>
        <w:tc>
          <w:tcPr>
            <w:tcW w:w="925" w:type="dxa"/>
            <w:tcBorders>
              <w:top w:val="single" w:color="auto" w:sz="4" w:space="0"/>
              <w:left w:val="single" w:color="auto" w:sz="4" w:space="0"/>
              <w:bottom w:val="single" w:color="auto" w:sz="4" w:space="0"/>
              <w:right w:val="single" w:color="auto" w:sz="4" w:space="0"/>
            </w:tcBorders>
            <w:noWrap w:val="0"/>
            <w:vAlign w:val="center"/>
          </w:tcPr>
          <w:p w14:paraId="5438DB11">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ascii="仿宋_GB2312" w:hAnsi="仿宋_GB2312" w:eastAsia="仿宋_GB2312" w:cs="仿宋_GB2312"/>
                <w:snapToGrid w:val="0"/>
                <w:color w:val="000000"/>
                <w:spacing w:val="0"/>
                <w:kern w:val="0"/>
                <w:sz w:val="20"/>
                <w:szCs w:val="20"/>
                <w:lang w:val="en-US" w:eastAsia="zh-CN" w:bidi="ar-SA"/>
              </w:rPr>
              <w:t>5</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5F751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00812AC4">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50711A61">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default"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6</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08D829AF">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rPr>
              <w:t>万宁和乐海角之花民宿中心</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1568C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银宿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47994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2B5FF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0ED45B32">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79DD5063">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default"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7</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5D774B1A">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rPr>
              <w:t>万宁好鸟咖啡主题民宿</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88952A">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银宿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88F27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cs="仿宋_GB2312"/>
                <w:snapToGrid w:val="0"/>
                <w:color w:val="000000"/>
                <w:spacing w:val="0"/>
                <w:kern w:val="0"/>
                <w:sz w:val="20"/>
                <w:szCs w:val="20"/>
                <w:lang w:val="en-US" w:eastAsia="zh-CN" w:bidi="ar-SA"/>
              </w:rPr>
              <w:t>1</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127DE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right w:val="single" w:color="auto" w:sz="4" w:space="0"/>
            </w:tcBorders>
            <w:noWrap w:val="0"/>
            <w:vAlign w:val="center"/>
          </w:tcPr>
          <w:p w14:paraId="74836487">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7FFD0E09">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default"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8</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35AC06E5">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rPr>
              <w:t>万宁龙之舟海洋民宿</w:t>
            </w:r>
          </w:p>
        </w:tc>
        <w:tc>
          <w:tcPr>
            <w:tcW w:w="8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8844A4">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银宿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44CAA2">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cs="仿宋_GB2312"/>
                <w:snapToGrid w:val="0"/>
                <w:color w:val="000000"/>
                <w:spacing w:val="0"/>
                <w:kern w:val="0"/>
                <w:sz w:val="20"/>
                <w:szCs w:val="20"/>
                <w:lang w:val="en-US" w:eastAsia="zh-CN" w:bidi="ar-SA"/>
              </w:rPr>
              <w:t>0</w:t>
            </w:r>
            <w:r>
              <w:rPr>
                <w:rFonts w:hint="eastAsia" w:ascii="仿宋_GB2312" w:hAnsi="仿宋_GB2312" w:eastAsia="仿宋_GB2312" w:cs="仿宋_GB2312"/>
                <w:snapToGrid w:val="0"/>
                <w:color w:val="000000"/>
                <w:spacing w:val="0"/>
                <w:kern w:val="0"/>
                <w:sz w:val="20"/>
                <w:szCs w:val="20"/>
                <w:lang w:val="en-US" w:eastAsia="en-US" w:bidi="ar-SA"/>
              </w:rPr>
              <w:t>年</w:t>
            </w:r>
          </w:p>
        </w:tc>
      </w:tr>
      <w:tr w14:paraId="34DF1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347" w:type="dxa"/>
            <w:vMerge w:val="continue"/>
            <w:tcBorders>
              <w:left w:val="single" w:color="auto" w:sz="4" w:space="0"/>
              <w:bottom w:val="single" w:color="auto" w:sz="4" w:space="0"/>
              <w:right w:val="single" w:color="auto" w:sz="4" w:space="0"/>
            </w:tcBorders>
            <w:noWrap w:val="0"/>
            <w:vAlign w:val="center"/>
          </w:tcPr>
          <w:p w14:paraId="2114B666">
            <w:pPr>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1"/>
                <w:lang w:eastAsia="en-US"/>
              </w:rPr>
            </w:pPr>
          </w:p>
        </w:tc>
        <w:tc>
          <w:tcPr>
            <w:tcW w:w="573" w:type="dxa"/>
            <w:tcBorders>
              <w:top w:val="single" w:color="auto" w:sz="4" w:space="0"/>
              <w:left w:val="single" w:color="auto" w:sz="4" w:space="0"/>
              <w:bottom w:val="single" w:color="auto" w:sz="4" w:space="0"/>
              <w:right w:val="single" w:color="auto" w:sz="4" w:space="0"/>
            </w:tcBorders>
            <w:noWrap w:val="0"/>
            <w:vAlign w:val="center"/>
          </w:tcPr>
          <w:p w14:paraId="0B12227E">
            <w:pPr>
              <w:keepNext w:val="0"/>
              <w:keepLines w:val="0"/>
              <w:pageBreakBefore w:val="0"/>
              <w:widowControl/>
              <w:kinsoku w:val="0"/>
              <w:wordWrap/>
              <w:overflowPunct/>
              <w:topLinePunct w:val="0"/>
              <w:autoSpaceDE w:val="0"/>
              <w:autoSpaceDN w:val="0"/>
              <w:bidi w:val="0"/>
              <w:adjustRightInd w:val="0"/>
              <w:snapToGrid w:val="0"/>
              <w:spacing w:before="56" w:line="288" w:lineRule="auto"/>
              <w:ind w:left="0" w:leftChars="0" w:right="0" w:rightChars="0" w:firstLine="0" w:firstLineChars="0"/>
              <w:jc w:val="center"/>
              <w:textAlignment w:val="baseline"/>
              <w:rPr>
                <w:rFonts w:hint="default" w:cs="仿宋_GB2312"/>
                <w:snapToGrid w:val="0"/>
                <w:color w:val="000000"/>
                <w:kern w:val="0"/>
                <w:sz w:val="20"/>
                <w:szCs w:val="20"/>
                <w:lang w:val="en-US" w:eastAsia="zh-CN" w:bidi="ar-SA"/>
              </w:rPr>
            </w:pPr>
            <w:r>
              <w:rPr>
                <w:rFonts w:hint="eastAsia" w:cs="仿宋_GB2312"/>
                <w:snapToGrid w:val="0"/>
                <w:color w:val="000000"/>
                <w:kern w:val="0"/>
                <w:sz w:val="20"/>
                <w:szCs w:val="20"/>
                <w:lang w:val="en-US" w:eastAsia="zh-CN" w:bidi="ar-SA"/>
              </w:rPr>
              <w:t>9</w:t>
            </w:r>
          </w:p>
        </w:tc>
        <w:tc>
          <w:tcPr>
            <w:tcW w:w="5002" w:type="dxa"/>
            <w:tcBorders>
              <w:top w:val="single" w:color="auto" w:sz="4" w:space="0"/>
              <w:left w:val="single" w:color="auto" w:sz="4" w:space="0"/>
              <w:bottom w:val="single" w:color="auto" w:sz="4" w:space="0"/>
              <w:right w:val="single" w:color="auto" w:sz="4" w:space="0"/>
            </w:tcBorders>
            <w:noWrap w:val="0"/>
            <w:vAlign w:val="center"/>
          </w:tcPr>
          <w:p w14:paraId="345900EA">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zh-CN" w:bidi="ar-SA"/>
              </w:rPr>
            </w:pPr>
            <w:r>
              <w:rPr>
                <w:rFonts w:hint="eastAsia" w:cs="仿宋_GB2312"/>
                <w:snapToGrid w:val="0"/>
                <w:color w:val="000000"/>
                <w:kern w:val="0"/>
                <w:sz w:val="20"/>
                <w:szCs w:val="20"/>
              </w:rPr>
              <w:t>万宁北大世楷民宿</w:t>
            </w:r>
          </w:p>
        </w:tc>
        <w:tc>
          <w:tcPr>
            <w:tcW w:w="858" w:type="dxa"/>
            <w:tcBorders>
              <w:top w:val="single" w:color="auto" w:sz="4" w:space="0"/>
              <w:left w:val="single" w:color="auto" w:sz="4" w:space="0"/>
              <w:bottom w:val="single" w:color="auto" w:sz="4" w:space="0"/>
              <w:right w:val="single" w:color="auto" w:sz="4" w:space="0"/>
            </w:tcBorders>
            <w:noWrap w:val="0"/>
            <w:vAlign w:val="center"/>
          </w:tcPr>
          <w:p w14:paraId="12875076">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default" w:ascii="仿宋_GB2312" w:hAnsi="仿宋_GB2312" w:eastAsia="仿宋_GB2312" w:cs="仿宋_GB2312"/>
                <w:snapToGrid w:val="0"/>
                <w:color w:val="000000"/>
                <w:spacing w:val="0"/>
                <w:kern w:val="0"/>
                <w:sz w:val="20"/>
                <w:szCs w:val="20"/>
                <w:lang w:val="en-US" w:eastAsia="zh-CN" w:bidi="ar-SA"/>
              </w:rPr>
            </w:pPr>
            <w:r>
              <w:rPr>
                <w:rFonts w:hint="eastAsia" w:cs="仿宋_GB2312"/>
                <w:snapToGrid w:val="0"/>
                <w:color w:val="000000"/>
                <w:spacing w:val="0"/>
                <w:kern w:val="0"/>
                <w:sz w:val="20"/>
                <w:szCs w:val="20"/>
                <w:lang w:val="en-US" w:eastAsia="zh-CN" w:bidi="ar-SA"/>
              </w:rPr>
              <w:t>铜宿</w:t>
            </w:r>
          </w:p>
        </w:tc>
        <w:tc>
          <w:tcPr>
            <w:tcW w:w="9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AC7F69">
            <w:pPr>
              <w:keepNext w:val="0"/>
              <w:keepLines w:val="0"/>
              <w:pageBreakBefore w:val="0"/>
              <w:widowControl/>
              <w:kinsoku w:val="0"/>
              <w:wordWrap/>
              <w:overflowPunct/>
              <w:topLinePunct w:val="0"/>
              <w:autoSpaceDE w:val="0"/>
              <w:autoSpaceDN w:val="0"/>
              <w:bidi w:val="0"/>
              <w:adjustRightInd w:val="0"/>
              <w:snapToGrid w:val="0"/>
              <w:spacing w:before="53" w:line="288" w:lineRule="auto"/>
              <w:ind w:left="0" w:leftChars="0" w:right="0" w:rightChars="0" w:firstLine="0" w:firstLineChars="0"/>
              <w:jc w:val="center"/>
              <w:textAlignment w:val="baseline"/>
              <w:rPr>
                <w:rFonts w:hint="eastAsia" w:ascii="仿宋_GB2312" w:hAnsi="仿宋_GB2312" w:eastAsia="仿宋_GB2312" w:cs="仿宋_GB2312"/>
                <w:snapToGrid w:val="0"/>
                <w:color w:val="000000"/>
                <w:kern w:val="0"/>
                <w:sz w:val="20"/>
                <w:szCs w:val="20"/>
                <w:lang w:val="en-US" w:eastAsia="en-US" w:bidi="ar-SA"/>
              </w:rPr>
            </w:pPr>
            <w:r>
              <w:rPr>
                <w:rFonts w:hint="eastAsia" w:ascii="仿宋_GB2312" w:hAnsi="仿宋_GB2312" w:eastAsia="仿宋_GB2312" w:cs="仿宋_GB2312"/>
                <w:snapToGrid w:val="0"/>
                <w:color w:val="000000"/>
                <w:spacing w:val="0"/>
                <w:kern w:val="0"/>
                <w:sz w:val="20"/>
                <w:szCs w:val="20"/>
                <w:lang w:val="en-US" w:eastAsia="en-US" w:bidi="ar-SA"/>
              </w:rPr>
              <w:t>202</w:t>
            </w:r>
            <w:r>
              <w:rPr>
                <w:rFonts w:hint="eastAsia" w:cs="仿宋_GB2312"/>
                <w:snapToGrid w:val="0"/>
                <w:color w:val="000000"/>
                <w:spacing w:val="0"/>
                <w:kern w:val="0"/>
                <w:sz w:val="20"/>
                <w:szCs w:val="20"/>
                <w:lang w:val="en-US" w:eastAsia="zh-CN" w:bidi="ar-SA"/>
              </w:rPr>
              <w:t>0</w:t>
            </w:r>
            <w:r>
              <w:rPr>
                <w:rFonts w:hint="eastAsia" w:ascii="仿宋_GB2312" w:hAnsi="仿宋_GB2312" w:eastAsia="仿宋_GB2312" w:cs="仿宋_GB2312"/>
                <w:snapToGrid w:val="0"/>
                <w:color w:val="000000"/>
                <w:spacing w:val="0"/>
                <w:kern w:val="0"/>
                <w:sz w:val="20"/>
                <w:szCs w:val="20"/>
                <w:lang w:val="en-US" w:eastAsia="en-US" w:bidi="ar-SA"/>
              </w:rPr>
              <w:t>年</w:t>
            </w:r>
          </w:p>
        </w:tc>
      </w:tr>
    </w:tbl>
    <w:p w14:paraId="2F708AD1">
      <w:pPr>
        <w:keepNext/>
        <w:keepLines/>
        <w:tabs>
          <w:tab w:val="left" w:pos="40"/>
        </w:tabs>
        <w:adjustRightInd w:val="0"/>
        <w:snapToGrid/>
        <w:spacing w:before="0" w:after="0" w:line="640" w:lineRule="exact"/>
        <w:ind w:left="0" w:firstLine="643"/>
        <w:jc w:val="left"/>
        <w:textAlignment w:val="baseline"/>
        <w:outlineLvl w:val="2"/>
        <w:rPr>
          <w:rFonts w:hint="eastAsia" w:ascii="Times New Roman" w:hAnsi="Times New Roman" w:eastAsia="楷体"/>
          <w:b/>
          <w:color w:val="000000"/>
          <w:szCs w:val="32"/>
        </w:rPr>
      </w:pPr>
      <w:r>
        <w:rPr>
          <w:rFonts w:hint="eastAsia" w:ascii="Times New Roman" w:hAnsi="Times New Roman" w:eastAsia="楷体" w:cs="Times New Roman"/>
          <w:b/>
          <w:color w:val="000000"/>
          <w:sz w:val="32"/>
          <w:szCs w:val="32"/>
        </w:rPr>
        <w:t>（三）“旅游+”深度融合，新业态蓬勃发展</w:t>
      </w:r>
      <w:bookmarkEnd w:id="37"/>
    </w:p>
    <w:p w14:paraId="25B005FD">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体旅融合</w:t>
      </w:r>
      <w:r>
        <w:rPr>
          <w:rFonts w:hint="eastAsia" w:cs="Times New Roman"/>
          <w:b/>
          <w:bCs/>
          <w:color w:val="000000"/>
          <w:sz w:val="32"/>
          <w:lang w:val="en-US" w:eastAsia="zh-CN"/>
        </w:rPr>
        <w:t>成</w:t>
      </w:r>
      <w:r>
        <w:rPr>
          <w:rFonts w:hint="eastAsia" w:ascii="仿宋_GB2312" w:hAnsi="仿宋_GB2312" w:eastAsia="仿宋_GB2312" w:cs="Times New Roman"/>
          <w:b/>
          <w:bCs/>
          <w:color w:val="000000"/>
          <w:sz w:val="32"/>
        </w:rPr>
        <w:t>全国标杆</w:t>
      </w:r>
      <w:r>
        <w:rPr>
          <w:rFonts w:hint="eastAsia" w:cs="Times New Roman"/>
          <w:b/>
          <w:bCs/>
          <w:color w:val="000000"/>
          <w:sz w:val="32"/>
          <w:lang w:eastAsia="zh-CN"/>
        </w:rPr>
        <w:t>。</w:t>
      </w:r>
      <w:r>
        <w:rPr>
          <w:rFonts w:hint="eastAsia" w:ascii="仿宋_GB2312" w:hAnsi="仿宋_GB2312" w:eastAsia="仿宋_GB2312" w:cs="Times New Roman"/>
          <w:color w:val="000000"/>
          <w:sz w:val="32"/>
        </w:rPr>
        <w:t>构建冲浪、帆板、帆船、海钓、摩托艇、低空飞行、露营骑行等“海陆空”全业态体育旅游体系；承办第十四届全运会冲浪比赛、世界冲浪联盟积分巡回赛、全国冲浪锦标赛、马拉松、越山向海人车接力赛等高端赛事；连续两年成为全国冲浪高考单招考点，带动田新村等村落集体经济增收，获国家体育总局点赞。</w:t>
      </w:r>
    </w:p>
    <w:p w14:paraId="1AB636BE">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文旅融合亮点纷呈</w:t>
      </w:r>
      <w:r>
        <w:rPr>
          <w:rFonts w:hint="eastAsia" w:cs="Times New Roman"/>
          <w:b/>
          <w:bCs/>
          <w:color w:val="000000"/>
          <w:sz w:val="32"/>
          <w:lang w:eastAsia="zh-CN"/>
        </w:rPr>
        <w:t>。</w:t>
      </w:r>
      <w:r>
        <w:rPr>
          <w:rFonts w:hint="eastAsia" w:ascii="仿宋_GB2312" w:hAnsi="仿宋_GB2312" w:eastAsia="仿宋_GB2312" w:cs="Times New Roman"/>
          <w:color w:val="000000"/>
          <w:sz w:val="32"/>
        </w:rPr>
        <w:t>修缮万安书院、潮州会馆等文物古迹，建成24小时城市书房、文化体育馆；举办草莓音乐节、</w:t>
      </w:r>
      <w:r>
        <w:rPr>
          <w:rFonts w:hint="eastAsia" w:ascii="仿宋_GB2312" w:hAnsi="仿宋_GB2312" w:eastAsia="仿宋_GB2312" w:cs="Times New Roman"/>
          <w:color w:val="000000"/>
          <w:sz w:val="32"/>
          <w:highlight w:val="none"/>
        </w:rPr>
        <w:t>M_DSK</w:t>
      </w:r>
      <w:r>
        <w:rPr>
          <w:rFonts w:hint="eastAsia" w:ascii="仿宋_GB2312" w:hAnsi="仿宋_GB2312" w:eastAsia="仿宋_GB2312" w:cs="Times New Roman"/>
          <w:color w:val="000000"/>
          <w:sz w:val="32"/>
        </w:rPr>
        <w:t>音乐节、TIDE音乐嘉年华等潮流活动，打造“音乐+冲浪”特色IP；开展送戏下乡、戏曲进校园、艺术公益课堂、美术书法摄影展等文化惠民活动，年均送戏下乡超50场，丰富市民游客文化生活。</w:t>
      </w:r>
    </w:p>
    <w:p w14:paraId="4662AF6A">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消费融合提质增效</w:t>
      </w:r>
      <w:r>
        <w:rPr>
          <w:rFonts w:hint="eastAsia" w:cs="Times New Roman"/>
          <w:b/>
          <w:bCs/>
          <w:color w:val="000000"/>
          <w:sz w:val="32"/>
          <w:lang w:eastAsia="zh-CN"/>
        </w:rPr>
        <w:t>。</w:t>
      </w:r>
      <w:r>
        <w:rPr>
          <w:rFonts w:hint="eastAsia" w:ascii="仿宋_GB2312" w:hAnsi="仿宋_GB2312" w:eastAsia="仿宋_GB2312" w:cs="Times New Roman"/>
          <w:color w:val="000000"/>
          <w:sz w:val="32"/>
        </w:rPr>
        <w:t>王府井国际免税港形成“有税+免税”双轮驱动消费模式，打造东部免税消费中心；推出“万宁礼物”“万宁市集”品牌，发放旅游消费券撬动千万级消费订单；构建电商交易平台，推动传统观光旅游向技能型、度假型、消费型旅游转变。</w:t>
      </w:r>
    </w:p>
    <w:p w14:paraId="368D7290">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乡村旅游提质增效</w:t>
      </w:r>
      <w:r>
        <w:rPr>
          <w:rFonts w:hint="eastAsia" w:cs="Times New Roman"/>
          <w:b/>
          <w:bCs/>
          <w:color w:val="000000"/>
          <w:sz w:val="32"/>
          <w:lang w:eastAsia="zh-CN"/>
        </w:rPr>
        <w:t>。</w:t>
      </w:r>
      <w:r>
        <w:rPr>
          <w:rFonts w:hint="eastAsia" w:ascii="仿宋_GB2312" w:hAnsi="仿宋_GB2312" w:eastAsia="仿宋_GB2312" w:cs="Times New Roman"/>
          <w:color w:val="000000"/>
          <w:sz w:val="32"/>
        </w:rPr>
        <w:t>以椰级乡村旅游点创建为抓手，推动咖啡、侨乡、黎苗文化与乡村旅游融合，持续打造“万城联星溪边村三角梅”“兴隆1951夜市”“兴隆517骑行公园”等一批具有文化内涵的“小而精”乡村旅游新场景，带动乡村振兴与农民增收。</w:t>
      </w:r>
    </w:p>
    <w:p w14:paraId="03A1751A">
      <w:pPr>
        <w:keepNext/>
        <w:keepLines/>
        <w:tabs>
          <w:tab w:val="left" w:pos="40"/>
        </w:tabs>
        <w:adjustRightInd w:val="0"/>
        <w:snapToGrid/>
        <w:spacing w:before="0" w:after="0" w:line="640" w:lineRule="exact"/>
        <w:ind w:left="0" w:firstLine="479" w:firstLineChars="149"/>
        <w:jc w:val="left"/>
        <w:textAlignment w:val="baseline"/>
        <w:outlineLvl w:val="2"/>
        <w:rPr>
          <w:rFonts w:hint="eastAsia" w:ascii="Times New Roman" w:hAnsi="Times New Roman" w:eastAsia="楷体"/>
          <w:b/>
          <w:color w:val="000000"/>
          <w:szCs w:val="32"/>
        </w:rPr>
      </w:pPr>
      <w:bookmarkStart w:id="38" w:name="heading_4"/>
      <w:r>
        <w:rPr>
          <w:rFonts w:hint="eastAsia" w:ascii="Times New Roman" w:hAnsi="Times New Roman" w:eastAsia="楷体" w:cs="Times New Roman"/>
          <w:b/>
          <w:color w:val="000000"/>
          <w:sz w:val="32"/>
          <w:szCs w:val="32"/>
        </w:rPr>
        <w:t>（四）基础设施不断完善，服务能力稳步提升</w:t>
      </w:r>
      <w:bookmarkEnd w:id="38"/>
    </w:p>
    <w:p w14:paraId="563619EC">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公共配套全面覆盖</w:t>
      </w:r>
      <w:r>
        <w:rPr>
          <w:rFonts w:hint="eastAsia" w:cs="Times New Roman"/>
          <w:b/>
          <w:bCs/>
          <w:color w:val="000000"/>
          <w:sz w:val="32"/>
          <w:lang w:eastAsia="zh-CN"/>
        </w:rPr>
        <w:t>。</w:t>
      </w:r>
      <w:r>
        <w:rPr>
          <w:rFonts w:hint="eastAsia" w:cs="Times New Roman"/>
          <w:b w:val="0"/>
          <w:bCs w:val="0"/>
          <w:color w:val="000000"/>
          <w:sz w:val="32"/>
          <w:lang w:eastAsia="zh-CN"/>
        </w:rPr>
        <w:t>高标准推进厕所革命，新建、改扩建</w:t>
      </w:r>
      <w:r>
        <w:rPr>
          <w:rFonts w:hint="eastAsia" w:cs="Times New Roman"/>
          <w:b w:val="0"/>
          <w:bCs w:val="0"/>
          <w:color w:val="000000"/>
          <w:sz w:val="32"/>
          <w:lang w:val="en-US" w:eastAsia="zh-CN"/>
        </w:rPr>
        <w:t>多座</w:t>
      </w:r>
      <w:r>
        <w:rPr>
          <w:rFonts w:hint="eastAsia" w:cs="Times New Roman"/>
          <w:b w:val="0"/>
          <w:bCs w:val="0"/>
          <w:color w:val="000000"/>
          <w:sz w:val="32"/>
          <w:lang w:eastAsia="zh-CN"/>
        </w:rPr>
        <w:t>旅游厕所</w:t>
      </w:r>
      <w:r>
        <w:rPr>
          <w:rFonts w:hint="eastAsia" w:ascii="仿宋_GB2312" w:hAnsi="仿宋_GB2312" w:eastAsia="仿宋_GB2312" w:cs="Times New Roman"/>
          <w:color w:val="000000"/>
          <w:sz w:val="32"/>
        </w:rPr>
        <w:t>，完成旅游公路、旅游交通标识标牌、外语标识标牌整改提升；为</w:t>
      </w:r>
      <w:r>
        <w:rPr>
          <w:rFonts w:hint="eastAsia" w:cs="Times New Roman"/>
          <w:color w:val="000000"/>
          <w:sz w:val="32"/>
          <w:lang w:eastAsia="zh-CN"/>
        </w:rPr>
        <w:t>A级旅游景区</w:t>
      </w:r>
      <w:r>
        <w:rPr>
          <w:rFonts w:hint="eastAsia" w:ascii="仿宋_GB2312" w:hAnsi="仿宋_GB2312" w:eastAsia="仿宋_GB2312" w:cs="Times New Roman"/>
          <w:color w:val="000000"/>
          <w:sz w:val="32"/>
        </w:rPr>
        <w:t>配备AED设备，推进全民健身路径、篮排球场、文体广场、冲浪训练基地、奥林匹克级人工造浪池等项目建设，公共服务承载力显著增强。</w:t>
      </w:r>
    </w:p>
    <w:p w14:paraId="73928800">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市场监管规范有序</w:t>
      </w:r>
      <w:r>
        <w:rPr>
          <w:rFonts w:hint="eastAsia" w:cs="Times New Roman"/>
          <w:b/>
          <w:bCs/>
          <w:color w:val="000000"/>
          <w:sz w:val="32"/>
          <w:lang w:eastAsia="zh-CN"/>
        </w:rPr>
        <w:t>。</w:t>
      </w:r>
      <w:r>
        <w:rPr>
          <w:rFonts w:hint="eastAsia" w:ascii="仿宋_GB2312" w:hAnsi="仿宋_GB2312" w:eastAsia="仿宋_GB2312" w:cs="Times New Roman"/>
          <w:color w:val="000000"/>
          <w:sz w:val="32"/>
        </w:rPr>
        <w:t>建立旅游消费“先行赔付”机制，出台水上运动行业管理办法，搭建海陆空公共安全监管平台，实现“一企一码、一教练一码、一设备一码”精准监管；开展旅游市场综合整治、私设景点清理、安全生产检查，年均出动执法人员超500人次，整改安全隐患数百项，市场环境持续优化。</w:t>
      </w:r>
    </w:p>
    <w:p w14:paraId="302DAF7C">
      <w:pPr>
        <w:keepNext/>
        <w:keepLines/>
        <w:tabs>
          <w:tab w:val="left" w:pos="40"/>
        </w:tabs>
        <w:adjustRightInd w:val="0"/>
        <w:snapToGrid/>
        <w:spacing w:before="0" w:after="0" w:line="640" w:lineRule="exact"/>
        <w:ind w:left="0" w:firstLine="479" w:firstLineChars="149"/>
        <w:jc w:val="left"/>
        <w:textAlignment w:val="baseline"/>
        <w:outlineLvl w:val="2"/>
        <w:rPr>
          <w:rFonts w:hint="eastAsia" w:ascii="Times New Roman" w:hAnsi="Times New Roman" w:eastAsia="楷体"/>
          <w:b/>
          <w:color w:val="000000"/>
          <w:szCs w:val="32"/>
        </w:rPr>
      </w:pPr>
      <w:bookmarkStart w:id="39" w:name="heading_5"/>
      <w:r>
        <w:rPr>
          <w:rFonts w:hint="eastAsia" w:ascii="Times New Roman" w:hAnsi="Times New Roman" w:eastAsia="楷体" w:cs="Times New Roman"/>
          <w:b/>
          <w:color w:val="000000"/>
          <w:sz w:val="32"/>
          <w:szCs w:val="32"/>
        </w:rPr>
        <w:t>（五）宣传营销全域覆盖，城市品牌深入人心</w:t>
      </w:r>
      <w:bookmarkEnd w:id="39"/>
    </w:p>
    <w:p w14:paraId="0409710C">
      <w:pPr>
        <w:numPr>
          <w:ilvl w:val="0"/>
          <w:numId w:val="0"/>
        </w:numPr>
        <w:adjustRightInd w:val="0"/>
        <w:snapToGrid w:val="0"/>
        <w:spacing w:before="0" w:after="0" w:line="560" w:lineRule="exact"/>
        <w:ind w:left="0" w:firstLine="643"/>
        <w:jc w:val="both"/>
        <w:rPr>
          <w:rFonts w:hint="eastAsia"/>
          <w:color w:val="000000"/>
        </w:rPr>
      </w:pPr>
      <w:r>
        <w:rPr>
          <w:rFonts w:hint="eastAsia" w:ascii="仿宋_GB2312" w:hAnsi="仿宋_GB2312" w:eastAsia="仿宋_GB2312" w:cs="Times New Roman"/>
          <w:b/>
          <w:bCs/>
          <w:color w:val="000000"/>
          <w:sz w:val="32"/>
        </w:rPr>
        <w:t>线上线下联动营销</w:t>
      </w:r>
      <w:r>
        <w:rPr>
          <w:rFonts w:hint="eastAsia" w:cs="Times New Roman"/>
          <w:b/>
          <w:bCs/>
          <w:color w:val="000000"/>
          <w:sz w:val="32"/>
          <w:lang w:eastAsia="zh-CN"/>
        </w:rPr>
        <w:t>。</w:t>
      </w:r>
      <w:r>
        <w:rPr>
          <w:rFonts w:hint="eastAsia" w:ascii="仿宋_GB2312" w:hAnsi="仿宋_GB2312" w:eastAsia="仿宋_GB2312" w:cs="Times New Roman"/>
          <w:color w:val="000000"/>
          <w:sz w:val="32"/>
        </w:rPr>
        <w:t>参加国内外旅游博览会，举办专场推介会，在高铁、机场投放宣传广告；与腾讯、携程、快手、B站等平台合作，年均宣传曝光量超1亿次。</w:t>
      </w:r>
    </w:p>
    <w:p w14:paraId="462BAF57">
      <w:pPr>
        <w:widowControl/>
        <w:numPr>
          <w:ilvl w:val="0"/>
          <w:numId w:val="0"/>
        </w:numPr>
        <w:kinsoku/>
        <w:autoSpaceDE/>
        <w:autoSpaceDN/>
        <w:adjustRightInd w:val="0"/>
        <w:snapToGrid w:val="0"/>
        <w:spacing w:before="0" w:line="560" w:lineRule="exact"/>
        <w:ind w:right="0" w:rightChars="0" w:firstLine="643" w:firstLineChars="0"/>
        <w:jc w:val="both"/>
        <w:textAlignment w:val="auto"/>
        <w:rPr>
          <w:rFonts w:hint="eastAsia" w:ascii="仿宋_GB2312" w:hAnsi="仿宋_GB2312" w:eastAsia="仿宋_GB2312" w:cs="Times New Roman"/>
          <w:b/>
          <w:bCs/>
          <w:snapToGrid/>
          <w:color w:val="000000"/>
          <w:spacing w:val="0"/>
          <w:kern w:val="2"/>
          <w:sz w:val="32"/>
          <w:szCs w:val="24"/>
          <w:lang w:val="en-US" w:eastAsia="zh-CN" w:bidi="ar-SA"/>
        </w:rPr>
      </w:pPr>
      <w:r>
        <w:rPr>
          <w:rFonts w:hint="eastAsia" w:ascii="仿宋_GB2312" w:hAnsi="仿宋_GB2312" w:eastAsia="仿宋_GB2312" w:cs="Times New Roman"/>
          <w:b/>
          <w:bCs/>
          <w:color w:val="000000"/>
          <w:sz w:val="32"/>
        </w:rPr>
        <w:t>影视综艺破圈传播</w:t>
      </w:r>
      <w:r>
        <w:rPr>
          <w:rFonts w:hint="eastAsia" w:cs="Times New Roman"/>
          <w:b/>
          <w:bCs/>
          <w:color w:val="000000"/>
          <w:sz w:val="32"/>
          <w:lang w:eastAsia="zh-CN"/>
        </w:rPr>
        <w:t>。</w:t>
      </w:r>
      <w:r>
        <w:rPr>
          <w:rFonts w:hint="eastAsia" w:ascii="仿宋_GB2312" w:hAnsi="仿宋_GB2312" w:eastAsia="仿宋_GB2312" w:cs="Times New Roman"/>
          <w:color w:val="000000"/>
          <w:sz w:val="32"/>
        </w:rPr>
        <w:t>借力《夏日冲浪店》《快乐再出发》《夏花》《天天向上》等数十部影视综艺，打造“时尚运动之城”“冲浪之都”城市IP，万宁成为全国年轻游客热门打卡地。</w:t>
      </w:r>
    </w:p>
    <w:p w14:paraId="07D6A9B6">
      <w:pPr>
        <w:keepNext w:val="0"/>
        <w:keepLines w:val="0"/>
        <w:pageBreakBefore w:val="0"/>
        <w:widowControl/>
        <w:tabs>
          <w:tab w:val="left" w:pos="0"/>
        </w:tabs>
        <w:kinsoku/>
        <w:wordWrap/>
        <w:overflowPunct/>
        <w:topLinePunct w:val="0"/>
        <w:autoSpaceDE/>
        <w:autoSpaceDN/>
        <w:bidi w:val="0"/>
        <w:adjustRightInd w:val="0"/>
        <w:snapToGrid/>
        <w:spacing w:before="62" w:beforeLines="20" w:after="93" w:afterLines="30" w:line="640" w:lineRule="exact"/>
        <w:ind w:firstLine="643" w:firstLineChars="200"/>
        <w:jc w:val="both"/>
        <w:textAlignment w:val="auto"/>
        <w:outlineLvl w:val="1"/>
        <w:rPr>
          <w:rFonts w:hint="eastAsia" w:ascii="黑体" w:hAnsi="黑体" w:eastAsia="黑体" w:cs="黑体"/>
          <w:b/>
          <w:bCs/>
          <w:snapToGrid/>
          <w:color w:val="000000"/>
          <w:kern w:val="2"/>
          <w:sz w:val="32"/>
          <w:szCs w:val="32"/>
          <w:lang w:val="en-US" w:eastAsia="zh-CN" w:bidi="ar-SA"/>
        </w:rPr>
      </w:pPr>
      <w:bookmarkStart w:id="40" w:name="_Toc22656"/>
      <w:bookmarkStart w:id="41" w:name="_Toc2579"/>
      <w:bookmarkStart w:id="42" w:name="_Toc21299"/>
      <w:bookmarkStart w:id="43" w:name="_Toc27603"/>
      <w:bookmarkStart w:id="44" w:name="_Toc31512"/>
      <w:bookmarkStart w:id="45" w:name="_Toc27454"/>
      <w:bookmarkStart w:id="46" w:name="_Toc31973"/>
      <w:bookmarkStart w:id="47" w:name="_Toc30216"/>
      <w:bookmarkStart w:id="48" w:name="_Toc15651"/>
      <w:r>
        <w:rPr>
          <w:rFonts w:hint="eastAsia" w:ascii="黑体" w:hAnsi="黑体" w:eastAsia="黑体" w:cs="黑体"/>
          <w:b/>
          <w:bCs/>
          <w:snapToGrid/>
          <w:color w:val="000000"/>
          <w:kern w:val="2"/>
          <w:sz w:val="32"/>
          <w:szCs w:val="32"/>
          <w:lang w:val="en-US" w:eastAsia="zh-CN" w:bidi="ar-SA"/>
        </w:rPr>
        <w:t>二、发展问题</w:t>
      </w:r>
      <w:bookmarkEnd w:id="40"/>
      <w:bookmarkEnd w:id="41"/>
      <w:bookmarkEnd w:id="42"/>
      <w:bookmarkEnd w:id="43"/>
      <w:bookmarkEnd w:id="44"/>
      <w:bookmarkEnd w:id="45"/>
      <w:bookmarkEnd w:id="46"/>
      <w:bookmarkEnd w:id="47"/>
      <w:bookmarkEnd w:id="48"/>
    </w:p>
    <w:p w14:paraId="29D37E21">
      <w:pPr>
        <w:pStyle w:val="4"/>
        <w:shd w:val="clear"/>
        <w:ind w:firstLine="479"/>
        <w:rPr>
          <w:rFonts w:hint="default" w:ascii="Times New Roman" w:hAnsi="Times New Roman" w:cs="Times New Roman"/>
          <w:color w:val="auto"/>
          <w:highlight w:val="none"/>
          <w:lang w:val="en-US" w:eastAsia="zh-CN"/>
        </w:rPr>
      </w:pPr>
      <w:bookmarkStart w:id="49" w:name="_Toc6675"/>
      <w:bookmarkStart w:id="50" w:name="_Toc9871"/>
      <w:bookmarkStart w:id="51" w:name="_Toc15117"/>
      <w:bookmarkStart w:id="52" w:name="_Toc21204"/>
      <w:bookmarkStart w:id="53" w:name="_Toc23651"/>
      <w:bookmarkStart w:id="54" w:name="_Toc3750"/>
      <w:bookmarkStart w:id="55" w:name="_Toc6361"/>
      <w:bookmarkStart w:id="56" w:name="_Toc16415"/>
      <w:bookmarkStart w:id="57" w:name="_Toc6874"/>
      <w:r>
        <w:rPr>
          <w:rFonts w:hint="eastAsia" w:ascii="Times New Roman" w:hAnsi="Times New Roman" w:cs="Times New Roman"/>
          <w:color w:val="auto"/>
          <w:highlight w:val="none"/>
          <w:lang w:val="en-US" w:eastAsia="zh-CN"/>
        </w:rPr>
        <w:t>（一）</w:t>
      </w:r>
      <w:r>
        <w:rPr>
          <w:rFonts w:hint="eastAsia" w:cs="Times New Roman"/>
          <w:color w:val="auto"/>
          <w:highlight w:val="none"/>
          <w:lang w:val="en-US" w:eastAsia="zh-CN"/>
        </w:rPr>
        <w:t>品牌能级有待进一步提高</w:t>
      </w:r>
    </w:p>
    <w:p w14:paraId="153CBBA0">
      <w:pPr>
        <w:widowControl w:val="0"/>
        <w:numPr>
          <w:ilvl w:val="0"/>
          <w:numId w:val="0"/>
        </w:numPr>
        <w:kinsoku/>
        <w:autoSpaceDE/>
        <w:autoSpaceDN/>
        <w:adjustRightInd/>
        <w:snapToGrid/>
        <w:spacing w:before="0" w:line="560" w:lineRule="exact"/>
        <w:ind w:left="0"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全市高等级旅游景区与度假区</w:t>
      </w:r>
      <w:r>
        <w:rPr>
          <w:rStyle w:val="15"/>
          <w:rFonts w:hint="eastAsia" w:ascii="仿宋_GB2312" w:hAnsi="仿宋_GB2312" w:eastAsia="仿宋_GB2312" w:cs="Times New Roman"/>
          <w:b w:val="0"/>
          <w:bCs w:val="0"/>
          <w:color w:val="000000"/>
          <w:sz w:val="32"/>
          <w:szCs w:val="24"/>
        </w:rPr>
        <w:t>总量少、梯队</w:t>
      </w:r>
      <w:r>
        <w:rPr>
          <w:rFonts w:hint="eastAsia" w:cs="Times New Roman"/>
          <w:b w:val="0"/>
          <w:bCs w:val="0"/>
          <w:color w:val="000000"/>
          <w:sz w:val="32"/>
          <w:szCs w:val="24"/>
          <w:lang w:val="en-US" w:eastAsia="zh-CN"/>
        </w:rPr>
        <w:t>不足</w:t>
      </w:r>
      <w:r>
        <w:rPr>
          <w:rStyle w:val="15"/>
          <w:rFonts w:hint="eastAsia" w:ascii="仿宋_GB2312" w:hAnsi="仿宋_GB2312" w:eastAsia="仿宋_GB2312" w:cs="Times New Roman"/>
          <w:b w:val="0"/>
          <w:bCs w:val="0"/>
          <w:color w:val="000000"/>
          <w:sz w:val="32"/>
          <w:szCs w:val="24"/>
        </w:rPr>
        <w:t>、竞争力弱</w:t>
      </w:r>
      <w:r>
        <w:rPr>
          <w:rFonts w:hint="eastAsia" w:ascii="仿宋_GB2312" w:hAnsi="仿宋_GB2312" w:eastAsia="仿宋_GB2312" w:cs="Times New Roman"/>
          <w:color w:val="000000"/>
          <w:sz w:val="32"/>
          <w:szCs w:val="24"/>
        </w:rPr>
        <w:t>，尚无</w:t>
      </w:r>
      <w:r>
        <w:rPr>
          <w:rFonts w:hint="eastAsia" w:cs="Times New Roman"/>
          <w:color w:val="000000"/>
          <w:sz w:val="32"/>
          <w:szCs w:val="24"/>
          <w:lang w:val="en-US" w:eastAsia="zh-CN"/>
        </w:rPr>
        <w:t>国家</w:t>
      </w:r>
      <w:r>
        <w:rPr>
          <w:rStyle w:val="15"/>
          <w:rFonts w:hint="eastAsia" w:ascii="仿宋_GB2312" w:hAnsi="仿宋_GB2312" w:eastAsia="仿宋_GB2312" w:cs="Times New Roman"/>
          <w:b w:val="0"/>
          <w:bCs w:val="0"/>
          <w:color w:val="000000"/>
          <w:sz w:val="32"/>
          <w:szCs w:val="24"/>
        </w:rPr>
        <w:t>5A级</w:t>
      </w:r>
      <w:r>
        <w:rPr>
          <w:rFonts w:hint="eastAsia" w:cs="Times New Roman"/>
          <w:b w:val="0"/>
          <w:bCs w:val="0"/>
          <w:color w:val="000000"/>
          <w:sz w:val="32"/>
          <w:szCs w:val="24"/>
          <w:lang w:val="en-US" w:eastAsia="zh-CN"/>
        </w:rPr>
        <w:t>旅游</w:t>
      </w:r>
      <w:r>
        <w:rPr>
          <w:rStyle w:val="15"/>
          <w:rFonts w:hint="eastAsia" w:ascii="仿宋_GB2312" w:hAnsi="仿宋_GB2312" w:eastAsia="仿宋_GB2312" w:cs="Times New Roman"/>
          <w:b w:val="0"/>
          <w:bCs w:val="0"/>
          <w:color w:val="000000"/>
          <w:sz w:val="32"/>
          <w:szCs w:val="24"/>
        </w:rPr>
        <w:t>景区</w:t>
      </w:r>
      <w:r>
        <w:rPr>
          <w:rFonts w:hint="eastAsia" w:ascii="仿宋_GB2312" w:hAnsi="仿宋_GB2312" w:eastAsia="仿宋_GB2312" w:cs="Times New Roman"/>
          <w:color w:val="000000"/>
          <w:sz w:val="32"/>
          <w:szCs w:val="24"/>
        </w:rPr>
        <w:t>，4A级景区仅有1家</w:t>
      </w:r>
      <w:r>
        <w:rPr>
          <w:rFonts w:hint="eastAsia" w:ascii="仿宋_GB2312" w:hAnsi="仿宋_GB2312" w:eastAsia="仿宋_GB2312" w:cs="Times New Roman"/>
          <w:color w:val="000000"/>
          <w:sz w:val="32"/>
          <w:szCs w:val="24"/>
          <w:highlight w:val="none"/>
        </w:rPr>
        <w:t>。</w:t>
      </w:r>
      <w:r>
        <w:rPr>
          <w:rFonts w:hint="eastAsia" w:ascii="仿宋_GB2312" w:hAnsi="仿宋_GB2312" w:eastAsia="仿宋_GB2312" w:cs="Times New Roman"/>
          <w:color w:val="000000"/>
          <w:sz w:val="32"/>
          <w:szCs w:val="24"/>
        </w:rPr>
        <w:t>虽有石梅湾1个国家级旅游度假区，但省级度假区空白、层级断层，核心吸引物对长线游、高端游、入境游带动不足。“多彩多情・万福万宁”以及长寿、华侨、温泉、南药等城市名片</w:t>
      </w:r>
      <w:r>
        <w:rPr>
          <w:rStyle w:val="15"/>
          <w:rFonts w:hint="eastAsia" w:ascii="仿宋_GB2312" w:hAnsi="仿宋_GB2312" w:eastAsia="仿宋_GB2312" w:cs="Times New Roman"/>
          <w:b w:val="0"/>
          <w:bCs w:val="0"/>
          <w:color w:val="000000"/>
          <w:sz w:val="32"/>
          <w:szCs w:val="24"/>
        </w:rPr>
        <w:t>辨识度不高、整合度不够、市场转化弱</w:t>
      </w:r>
      <w:r>
        <w:rPr>
          <w:rFonts w:hint="eastAsia" w:ascii="仿宋_GB2312" w:hAnsi="仿宋_GB2312" w:eastAsia="仿宋_GB2312" w:cs="Times New Roman"/>
          <w:color w:val="000000"/>
          <w:sz w:val="32"/>
          <w:szCs w:val="24"/>
        </w:rPr>
        <w:t>，品牌优势未有效转化为产业优势。</w:t>
      </w:r>
    </w:p>
    <w:p w14:paraId="2642FC02">
      <w:pPr>
        <w:pStyle w:val="4"/>
        <w:shd w:val="clear"/>
        <w:ind w:firstLine="47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（二）</w:t>
      </w:r>
      <w:r>
        <w:rPr>
          <w:rFonts w:hint="eastAsia" w:cs="Times New Roman"/>
          <w:color w:val="auto"/>
          <w:highlight w:val="none"/>
          <w:lang w:val="en-US" w:eastAsia="zh-CN"/>
        </w:rPr>
        <w:t>产业</w:t>
      </w:r>
      <w:r>
        <w:rPr>
          <w:rFonts w:hint="eastAsia" w:ascii="Times New Roman" w:hAnsi="Times New Roman" w:cs="Times New Roman"/>
          <w:color w:val="auto"/>
          <w:highlight w:val="none"/>
          <w:lang w:val="en-US" w:eastAsia="zh-CN"/>
        </w:rPr>
        <w:t>空间</w:t>
      </w:r>
      <w:r>
        <w:rPr>
          <w:rFonts w:hint="eastAsia" w:cs="Times New Roman"/>
          <w:color w:val="auto"/>
          <w:highlight w:val="none"/>
          <w:lang w:val="en-US" w:eastAsia="zh-CN"/>
        </w:rPr>
        <w:t>发展不平衡凸显</w:t>
      </w:r>
    </w:p>
    <w:p w14:paraId="774C2BB2">
      <w:pPr>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仿宋_GB2312" w:hAnsi="仿宋_GB2312" w:eastAsia="仿宋_GB2312" w:cs="Times New Roman"/>
          <w:color w:val="000000"/>
          <w:kern w:val="2"/>
          <w:sz w:val="32"/>
          <w:szCs w:val="24"/>
          <w:lang w:val="en-US" w:eastAsia="zh-CN" w:bidi="ar-SA"/>
        </w:rPr>
      </w:pPr>
      <w:r>
        <w:rPr>
          <w:rFonts w:hint="eastAsia" w:ascii="仿宋_GB2312" w:hAnsi="仿宋_GB2312" w:eastAsia="仿宋_GB2312" w:cs="Times New Roman"/>
          <w:color w:val="000000"/>
          <w:kern w:val="2"/>
          <w:sz w:val="32"/>
          <w:szCs w:val="24"/>
          <w:lang w:val="en-US" w:eastAsia="zh-CN" w:bidi="ar-SA"/>
        </w:rPr>
        <w:t>全市旅游产业发展存在结构性失衡问题</w:t>
      </w:r>
      <w:r>
        <w:rPr>
          <w:rFonts w:hint="eastAsia" w:cs="Times New Roman"/>
          <w:b w:val="0"/>
          <w:bCs w:val="0"/>
          <w:color w:val="000000"/>
          <w:kern w:val="2"/>
          <w:sz w:val="32"/>
          <w:szCs w:val="24"/>
          <w:lang w:val="en-US" w:eastAsia="zh-CN" w:bidi="ar-SA"/>
        </w:rPr>
        <w:t>。</w:t>
      </w:r>
      <w:r>
        <w:rPr>
          <w:rStyle w:val="15"/>
          <w:rFonts w:hint="eastAsia" w:cs="Times New Roman"/>
          <w:b w:val="0"/>
          <w:bCs w:val="0"/>
          <w:color w:val="000000"/>
          <w:kern w:val="2"/>
          <w:sz w:val="32"/>
          <w:szCs w:val="24"/>
          <w:lang w:val="en-US" w:eastAsia="zh-CN" w:bidi="ar-SA"/>
        </w:rPr>
        <w:t>空间结构上呈现</w:t>
      </w:r>
      <w:r>
        <w:rPr>
          <w:rFonts w:hint="eastAsia" w:cs="Times New Roman"/>
          <w:b w:val="0"/>
          <w:bCs w:val="0"/>
          <w:color w:val="000000"/>
          <w:kern w:val="2"/>
          <w:sz w:val="32"/>
          <w:szCs w:val="24"/>
          <w:lang w:val="en-US" w:eastAsia="zh-CN" w:bidi="ar-SA"/>
        </w:rPr>
        <w:t>“</w:t>
      </w:r>
      <w:r>
        <w:rPr>
          <w:rFonts w:hint="eastAsia" w:ascii="仿宋_GB2312" w:hAnsi="仿宋_GB2312" w:eastAsia="仿宋_GB2312" w:cs="Times New Roman"/>
          <w:color w:val="000000"/>
          <w:kern w:val="2"/>
          <w:sz w:val="32"/>
          <w:szCs w:val="24"/>
          <w:lang w:val="en-US" w:eastAsia="zh-CN" w:bidi="ar-SA"/>
        </w:rPr>
        <w:t>南强北弱、东热西冷</w:t>
      </w:r>
      <w:r>
        <w:rPr>
          <w:rFonts w:hint="eastAsia" w:cs="Times New Roman"/>
          <w:color w:val="000000"/>
          <w:kern w:val="2"/>
          <w:sz w:val="32"/>
          <w:szCs w:val="24"/>
          <w:lang w:val="en-US" w:eastAsia="zh-CN" w:bidi="ar-SA"/>
        </w:rPr>
        <w:t>”</w:t>
      </w:r>
      <w:r>
        <w:rPr>
          <w:rFonts w:hint="eastAsia" w:ascii="仿宋_GB2312" w:hAnsi="仿宋_GB2312" w:eastAsia="仿宋_GB2312" w:cs="Times New Roman"/>
          <w:color w:val="000000"/>
          <w:kern w:val="2"/>
          <w:sz w:val="32"/>
          <w:szCs w:val="24"/>
          <w:lang w:val="en-US" w:eastAsia="zh-CN" w:bidi="ar-SA"/>
        </w:rPr>
        <w:t>，东部滨海</w:t>
      </w:r>
      <w:r>
        <w:rPr>
          <w:rFonts w:hint="eastAsia" w:cs="Times New Roman"/>
          <w:color w:val="000000"/>
          <w:kern w:val="2"/>
          <w:sz w:val="32"/>
          <w:szCs w:val="24"/>
          <w:lang w:val="en-US" w:eastAsia="zh-CN" w:bidi="ar-SA"/>
        </w:rPr>
        <w:t>、</w:t>
      </w:r>
      <w:r>
        <w:rPr>
          <w:rFonts w:hint="eastAsia" w:ascii="仿宋_GB2312" w:hAnsi="仿宋_GB2312" w:eastAsia="仿宋_GB2312" w:cs="Times New Roman"/>
          <w:color w:val="000000"/>
          <w:kern w:val="2"/>
          <w:sz w:val="32"/>
          <w:szCs w:val="24"/>
          <w:lang w:val="en-US" w:eastAsia="zh-CN" w:bidi="ar-SA"/>
        </w:rPr>
        <w:t>南部兴隆片区</w:t>
      </w:r>
      <w:r>
        <w:rPr>
          <w:rFonts w:hint="eastAsia" w:cs="Times New Roman"/>
          <w:color w:val="000000"/>
          <w:kern w:val="2"/>
          <w:sz w:val="32"/>
          <w:szCs w:val="24"/>
          <w:lang w:val="en-US" w:eastAsia="zh-CN" w:bidi="ar-SA"/>
        </w:rPr>
        <w:t>发展成熟</w:t>
      </w:r>
      <w:r>
        <w:rPr>
          <w:rFonts w:hint="eastAsia" w:ascii="仿宋_GB2312" w:hAnsi="仿宋_GB2312" w:eastAsia="仿宋_GB2312" w:cs="Times New Roman"/>
          <w:color w:val="000000"/>
          <w:kern w:val="2"/>
          <w:sz w:val="32"/>
          <w:szCs w:val="24"/>
          <w:lang w:val="en-US" w:eastAsia="zh-CN" w:bidi="ar-SA"/>
        </w:rPr>
        <w:t>，北部、西部片区受区位、交通、资源开发等</w:t>
      </w:r>
      <w:r>
        <w:rPr>
          <w:rFonts w:hint="eastAsia" w:cs="Times New Roman"/>
          <w:color w:val="000000"/>
          <w:kern w:val="2"/>
          <w:sz w:val="32"/>
          <w:szCs w:val="24"/>
          <w:lang w:val="en-US" w:eastAsia="zh-CN" w:bidi="ar-SA"/>
        </w:rPr>
        <w:t>限制</w:t>
      </w:r>
      <w:r>
        <w:rPr>
          <w:rFonts w:hint="eastAsia" w:ascii="仿宋_GB2312" w:hAnsi="仿宋_GB2312" w:eastAsia="仿宋_GB2312" w:cs="Times New Roman"/>
          <w:color w:val="000000"/>
          <w:kern w:val="2"/>
          <w:sz w:val="32"/>
          <w:szCs w:val="24"/>
          <w:lang w:val="en-US" w:eastAsia="zh-CN" w:bidi="ar-SA"/>
        </w:rPr>
        <w:t>发展明显滞后；城乡结构</w:t>
      </w:r>
      <w:r>
        <w:rPr>
          <w:rFonts w:hint="eastAsia" w:cs="Times New Roman"/>
          <w:color w:val="000000"/>
          <w:kern w:val="2"/>
          <w:sz w:val="32"/>
          <w:szCs w:val="24"/>
          <w:lang w:val="en-US" w:eastAsia="zh-CN" w:bidi="ar-SA"/>
        </w:rPr>
        <w:t>呈现“</w:t>
      </w:r>
      <w:r>
        <w:rPr>
          <w:rStyle w:val="15"/>
          <w:rFonts w:hint="eastAsia" w:ascii="仿宋_GB2312" w:hAnsi="仿宋_GB2312" w:eastAsia="仿宋_GB2312" w:cs="Times New Roman"/>
          <w:b w:val="0"/>
          <w:bCs w:val="0"/>
          <w:color w:val="000000"/>
          <w:kern w:val="2"/>
          <w:sz w:val="32"/>
          <w:szCs w:val="24"/>
          <w:lang w:val="en-US" w:eastAsia="zh-CN" w:bidi="ar-SA"/>
        </w:rPr>
        <w:t>乡镇热、城区冷</w:t>
      </w:r>
      <w:r>
        <w:rPr>
          <w:rFonts w:hint="eastAsia" w:cs="Times New Roman"/>
          <w:b w:val="0"/>
          <w:bCs w:val="0"/>
          <w:color w:val="000000"/>
          <w:kern w:val="2"/>
          <w:sz w:val="32"/>
          <w:szCs w:val="24"/>
          <w:lang w:val="en-US" w:eastAsia="zh-CN" w:bidi="ar-SA"/>
        </w:rPr>
        <w:t>”</w:t>
      </w:r>
      <w:r>
        <w:rPr>
          <w:rFonts w:hint="eastAsia" w:ascii="仿宋_GB2312" w:hAnsi="仿宋_GB2312" w:eastAsia="仿宋_GB2312" w:cs="Times New Roman"/>
          <w:color w:val="000000"/>
          <w:kern w:val="2"/>
          <w:sz w:val="32"/>
          <w:szCs w:val="24"/>
          <w:lang w:val="en-US" w:eastAsia="zh-CN" w:bidi="ar-SA"/>
        </w:rPr>
        <w:t>，城区旅游集散、综合服务、消费枢纽功能尚未充分发挥，统筹带动能力不足；</w:t>
      </w:r>
      <w:r>
        <w:rPr>
          <w:rFonts w:hint="eastAsia"/>
          <w:color w:val="000000"/>
        </w:rPr>
        <w:t>时间结构</w:t>
      </w:r>
      <w:r>
        <w:rPr>
          <w:rFonts w:hint="eastAsia"/>
          <w:color w:val="000000"/>
          <w:lang w:val="en-US" w:eastAsia="zh-CN"/>
        </w:rPr>
        <w:t>上呈现</w:t>
      </w:r>
      <w:r>
        <w:rPr>
          <w:rFonts w:hint="eastAsia" w:cs="Times New Roman"/>
          <w:color w:val="000000"/>
          <w:kern w:val="2"/>
          <w:sz w:val="32"/>
          <w:szCs w:val="24"/>
          <w:lang w:val="en-US" w:eastAsia="zh-CN" w:bidi="ar-SA"/>
        </w:rPr>
        <w:t>“</w:t>
      </w:r>
      <w:r>
        <w:rPr>
          <w:rStyle w:val="15"/>
          <w:rFonts w:hint="eastAsia" w:ascii="仿宋_GB2312" w:hAnsi="仿宋_GB2312" w:eastAsia="仿宋_GB2312" w:cs="Times New Roman"/>
          <w:b w:val="0"/>
          <w:bCs w:val="0"/>
          <w:color w:val="000000"/>
          <w:kern w:val="2"/>
          <w:sz w:val="32"/>
          <w:szCs w:val="24"/>
          <w:lang w:val="en-US" w:eastAsia="zh-CN" w:bidi="ar-SA"/>
        </w:rPr>
        <w:t>冬季热、夏季冷</w:t>
      </w:r>
      <w:r>
        <w:rPr>
          <w:rFonts w:hint="eastAsia" w:cs="Times New Roman"/>
          <w:b w:val="0"/>
          <w:bCs w:val="0"/>
          <w:color w:val="000000"/>
          <w:kern w:val="2"/>
          <w:sz w:val="32"/>
          <w:szCs w:val="24"/>
          <w:lang w:val="en-US" w:eastAsia="zh-CN" w:bidi="ar-SA"/>
        </w:rPr>
        <w:t>”</w:t>
      </w:r>
      <w:r>
        <w:rPr>
          <w:rFonts w:hint="eastAsia" w:ascii="仿宋_GB2312" w:hAnsi="仿宋_GB2312" w:eastAsia="仿宋_GB2312" w:cs="Times New Roman"/>
          <w:color w:val="000000"/>
          <w:kern w:val="2"/>
          <w:sz w:val="32"/>
          <w:szCs w:val="24"/>
          <w:lang w:val="en-US" w:eastAsia="zh-CN" w:bidi="ar-SA"/>
        </w:rPr>
        <w:t>，季节性</w:t>
      </w:r>
      <w:r>
        <w:rPr>
          <w:rFonts w:hint="eastAsia" w:cs="Times New Roman"/>
          <w:color w:val="000000"/>
          <w:kern w:val="2"/>
          <w:sz w:val="32"/>
          <w:szCs w:val="24"/>
          <w:lang w:val="en-US" w:eastAsia="zh-CN" w:bidi="ar-SA"/>
        </w:rPr>
        <w:t>差异</w:t>
      </w:r>
      <w:r>
        <w:rPr>
          <w:rFonts w:hint="eastAsia" w:ascii="仿宋_GB2312" w:hAnsi="仿宋_GB2312" w:eastAsia="仿宋_GB2312" w:cs="Times New Roman"/>
          <w:color w:val="000000"/>
          <w:kern w:val="2"/>
          <w:sz w:val="32"/>
          <w:szCs w:val="24"/>
          <w:lang w:val="en-US" w:eastAsia="zh-CN" w:bidi="ar-SA"/>
        </w:rPr>
        <w:t>显著，冬季避寒度假业态成熟，夏季避暑、康养、研学等产品供给不足，设施利用率不均，产业抗风险能力较弱。</w:t>
      </w:r>
    </w:p>
    <w:p w14:paraId="0EC2EEF1">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（三）科技赋能旅游有待提升</w:t>
      </w:r>
    </w:p>
    <w:p w14:paraId="2185FD95">
      <w:pPr>
        <w:widowControl w:val="0"/>
        <w:numPr>
          <w:ilvl w:val="0"/>
          <w:numId w:val="0"/>
        </w:numPr>
        <w:kinsoku/>
        <w:autoSpaceDE/>
        <w:autoSpaceDN/>
        <w:adjustRightInd/>
        <w:snapToGrid/>
        <w:spacing w:before="0" w:line="560" w:lineRule="exact"/>
        <w:ind w:left="0" w:right="0"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科技与旅游融合应用</w:t>
      </w:r>
      <w:r>
        <w:rPr>
          <w:rStyle w:val="15"/>
          <w:rFonts w:hint="eastAsia" w:ascii="仿宋_GB2312" w:hAnsi="仿宋_GB2312" w:eastAsia="仿宋_GB2312" w:cs="Times New Roman"/>
          <w:b w:val="0"/>
          <w:bCs w:val="0"/>
          <w:color w:val="000000"/>
          <w:sz w:val="32"/>
          <w:szCs w:val="24"/>
        </w:rPr>
        <w:t>层次偏浅、链条较短、赋能不足</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数字化技术尚未与冲浪、滨海度假、侨乡文化等核心业态深度耦合</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智慧应用多停留在基础监控、简易导览、常规监管等浅层面，大数据、VR/AR、AI运营等技术应用不充分</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“旅游+体育”领域，VR冲浪等体验仅作为展示环节，未融入培训、赛事运营等产业链关键环节，产品附加值提升有限</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本土特色文旅资源数字化转化不足，缺乏数字文旅IP与沉浸式体验产品</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数字研学、高端定制智慧服务</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多语种</w:t>
      </w:r>
      <w:r>
        <w:rPr>
          <w:rFonts w:hint="eastAsia" w:cs="Times New Roman"/>
          <w:color w:val="000000"/>
          <w:sz w:val="32"/>
          <w:szCs w:val="24"/>
          <w:lang w:val="en-US" w:eastAsia="zh-CN"/>
        </w:rPr>
        <w:t>入境</w:t>
      </w:r>
      <w:r>
        <w:rPr>
          <w:rFonts w:hint="eastAsia" w:ascii="仿宋_GB2312" w:hAnsi="仿宋_GB2312" w:eastAsia="仿宋_GB2312" w:cs="Times New Roman"/>
          <w:color w:val="000000"/>
          <w:sz w:val="32"/>
          <w:szCs w:val="24"/>
        </w:rPr>
        <w:t>服务</w:t>
      </w:r>
      <w:r>
        <w:rPr>
          <w:rFonts w:hint="eastAsia" w:cs="Times New Roman"/>
          <w:color w:val="000000"/>
          <w:sz w:val="32"/>
          <w:szCs w:val="24"/>
          <w:lang w:val="en-US" w:eastAsia="zh-CN"/>
        </w:rPr>
        <w:t>等</w:t>
      </w:r>
      <w:r>
        <w:rPr>
          <w:rFonts w:hint="eastAsia" w:ascii="仿宋_GB2312" w:hAnsi="仿宋_GB2312" w:eastAsia="仿宋_GB2312" w:cs="Times New Roman"/>
          <w:color w:val="000000"/>
          <w:sz w:val="32"/>
          <w:szCs w:val="24"/>
        </w:rPr>
        <w:t>供给存在明显缺口，科技对产业提质增效的支撑作用尚未充分释放。</w:t>
      </w:r>
    </w:p>
    <w:p w14:paraId="261902AA">
      <w:pPr>
        <w:pStyle w:val="4"/>
        <w:shd w:val="clear"/>
        <w:ind w:firstLine="47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（四）文化内涵挖掘深度不</w:t>
      </w:r>
      <w:r>
        <w:rPr>
          <w:rFonts w:hint="eastAsia" w:cs="Times New Roman"/>
          <w:color w:val="auto"/>
          <w:highlight w:val="none"/>
          <w:lang w:val="en-US" w:eastAsia="zh-CN"/>
        </w:rPr>
        <w:t>够</w:t>
      </w:r>
    </w:p>
    <w:p w14:paraId="234D729A">
      <w:pPr>
        <w:widowControl w:val="0"/>
        <w:numPr>
          <w:ilvl w:val="0"/>
          <w:numId w:val="0"/>
        </w:numPr>
        <w:kinsoku/>
        <w:autoSpaceDE/>
        <w:autoSpaceDN/>
        <w:adjustRightInd/>
        <w:snapToGrid/>
        <w:spacing w:before="0" w:line="560" w:lineRule="exact"/>
        <w:ind w:left="0" w:right="0"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文化资源挖掘利用</w:t>
      </w:r>
      <w:r>
        <w:rPr>
          <w:rStyle w:val="15"/>
          <w:rFonts w:hint="eastAsia" w:ascii="仿宋_GB2312" w:hAnsi="仿宋_GB2312" w:eastAsia="仿宋_GB2312" w:cs="Times New Roman"/>
          <w:b w:val="0"/>
          <w:bCs w:val="0"/>
          <w:color w:val="000000"/>
          <w:sz w:val="32"/>
          <w:szCs w:val="24"/>
        </w:rPr>
        <w:t>不深、不系统、不融合</w:t>
      </w:r>
      <w:r>
        <w:rPr>
          <w:rFonts w:hint="eastAsia" w:ascii="仿宋_GB2312" w:hAnsi="仿宋_GB2312" w:eastAsia="仿宋_GB2312" w:cs="Times New Roman"/>
          <w:color w:val="000000"/>
          <w:sz w:val="32"/>
          <w:szCs w:val="24"/>
        </w:rPr>
        <w:t>，与旅游、体育、消费的联动赋能不足，城市文化辨识度与竞争力偏弱。</w:t>
      </w:r>
      <w:r>
        <w:rPr>
          <w:rStyle w:val="15"/>
          <w:rFonts w:hint="eastAsia" w:ascii="仿宋_GB2312" w:hAnsi="仿宋_GB2312" w:eastAsia="仿宋_GB2312" w:cs="Times New Roman"/>
          <w:b w:val="0"/>
          <w:bCs w:val="0"/>
          <w:color w:val="000000"/>
          <w:sz w:val="32"/>
          <w:szCs w:val="24"/>
        </w:rPr>
        <w:t>资源整合不足</w:t>
      </w:r>
      <w:r>
        <w:rPr>
          <w:rFonts w:hint="eastAsia" w:ascii="仿宋_GB2312" w:hAnsi="仿宋_GB2312" w:eastAsia="仿宋_GB2312" w:cs="Times New Roman"/>
          <w:color w:val="000000"/>
          <w:sz w:val="32"/>
          <w:szCs w:val="24"/>
        </w:rPr>
        <w:t>，侨乡、黎苗、红色等特色文化资源</w:t>
      </w:r>
      <w:r>
        <w:rPr>
          <w:rFonts w:hint="eastAsia" w:cs="Times New Roman"/>
          <w:color w:val="000000"/>
          <w:sz w:val="32"/>
          <w:szCs w:val="24"/>
          <w:lang w:val="en-US" w:eastAsia="zh-CN"/>
        </w:rPr>
        <w:t>挖掘</w:t>
      </w:r>
      <w:r>
        <w:rPr>
          <w:rFonts w:hint="eastAsia" w:ascii="仿宋_GB2312" w:hAnsi="仿宋_GB2312" w:eastAsia="仿宋_GB2312" w:cs="Times New Roman"/>
          <w:color w:val="000000"/>
          <w:sz w:val="32"/>
          <w:szCs w:val="24"/>
        </w:rPr>
        <w:t>不够，系统性保护与活化利用机制不健全，</w:t>
      </w:r>
      <w:r>
        <w:rPr>
          <w:rFonts w:hint="eastAsia" w:cs="Times New Roman"/>
          <w:color w:val="000000"/>
          <w:sz w:val="32"/>
          <w:szCs w:val="24"/>
          <w:highlight w:val="none"/>
          <w:lang w:val="en-US" w:eastAsia="zh-CN"/>
        </w:rPr>
        <w:t>万安书院、曲冲文化古村等历史遗存的活化利用仍有提升空间；</w:t>
      </w:r>
      <w:r>
        <w:rPr>
          <w:rStyle w:val="15"/>
          <w:rFonts w:hint="eastAsia" w:ascii="仿宋_GB2312" w:hAnsi="仿宋_GB2312" w:eastAsia="仿宋_GB2312" w:cs="Times New Roman"/>
          <w:b w:val="0"/>
          <w:bCs w:val="0"/>
          <w:color w:val="000000"/>
          <w:sz w:val="32"/>
          <w:szCs w:val="24"/>
        </w:rPr>
        <w:t>产业能级偏低</w:t>
      </w:r>
      <w:r>
        <w:rPr>
          <w:rFonts w:hint="eastAsia" w:ascii="仿宋_GB2312" w:hAnsi="仿宋_GB2312" w:eastAsia="仿宋_GB2312" w:cs="Times New Roman"/>
          <w:color w:val="000000"/>
          <w:sz w:val="32"/>
          <w:szCs w:val="24"/>
        </w:rPr>
        <w:t>，文化产业整体规模小、链条短，文创开发、演艺体验、数字内容等高附加值业态供给不足，与旅游、体育、康养、科技融合层次较浅</w:t>
      </w:r>
      <w:r>
        <w:rPr>
          <w:rFonts w:hint="eastAsia" w:cs="Times New Roman"/>
          <w:color w:val="000000"/>
          <w:sz w:val="32"/>
          <w:szCs w:val="24"/>
          <w:lang w:eastAsia="zh-CN"/>
        </w:rPr>
        <w:t>；</w:t>
      </w:r>
      <w:r>
        <w:rPr>
          <w:rStyle w:val="15"/>
          <w:rFonts w:hint="eastAsia" w:ascii="仿宋_GB2312" w:hAnsi="仿宋_GB2312" w:eastAsia="仿宋_GB2312" w:cs="Times New Roman"/>
          <w:b w:val="0"/>
          <w:bCs w:val="0"/>
          <w:color w:val="000000"/>
          <w:sz w:val="32"/>
          <w:szCs w:val="24"/>
        </w:rPr>
        <w:t>品牌传播不强</w:t>
      </w:r>
      <w:r>
        <w:rPr>
          <w:rFonts w:hint="eastAsia" w:ascii="仿宋_GB2312" w:hAnsi="仿宋_GB2312" w:eastAsia="仿宋_GB2312" w:cs="Times New Roman"/>
          <w:color w:val="000000"/>
          <w:sz w:val="32"/>
          <w:szCs w:val="24"/>
        </w:rPr>
        <w:t>，城市文化IP塑造不够，国际传播与数字化营销能力薄弱，文化影响力</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市场转化力</w:t>
      </w:r>
      <w:r>
        <w:rPr>
          <w:rFonts w:hint="eastAsia" w:cs="Times New Roman"/>
          <w:color w:val="000000"/>
          <w:sz w:val="32"/>
          <w:szCs w:val="24"/>
          <w:lang w:val="en-US" w:eastAsia="zh-CN"/>
        </w:rPr>
        <w:t>及</w:t>
      </w:r>
      <w:r>
        <w:rPr>
          <w:rFonts w:hint="eastAsia" w:ascii="仿宋_GB2312" w:hAnsi="仿宋_GB2312" w:eastAsia="仿宋_GB2312" w:cs="Times New Roman"/>
          <w:color w:val="000000"/>
          <w:sz w:val="32"/>
          <w:szCs w:val="24"/>
        </w:rPr>
        <w:t>区域协同效应有待增强。四是</w:t>
      </w:r>
      <w:r>
        <w:rPr>
          <w:rStyle w:val="15"/>
          <w:rFonts w:hint="eastAsia" w:ascii="仿宋_GB2312" w:hAnsi="仿宋_GB2312" w:eastAsia="仿宋_GB2312" w:cs="Times New Roman"/>
          <w:b w:val="0"/>
          <w:bCs w:val="0"/>
          <w:color w:val="000000"/>
          <w:sz w:val="32"/>
          <w:szCs w:val="24"/>
        </w:rPr>
        <w:t>公共服务不均</w:t>
      </w:r>
      <w:r>
        <w:rPr>
          <w:rFonts w:hint="eastAsia" w:ascii="仿宋_GB2312" w:hAnsi="仿宋_GB2312" w:eastAsia="仿宋_GB2312" w:cs="Times New Roman"/>
          <w:color w:val="000000"/>
          <w:sz w:val="32"/>
          <w:szCs w:val="24"/>
        </w:rPr>
        <w:t>，城乡公共文化服务差距</w:t>
      </w:r>
      <w:r>
        <w:rPr>
          <w:rFonts w:hint="eastAsia" w:cs="Times New Roman"/>
          <w:color w:val="000000"/>
          <w:sz w:val="32"/>
          <w:szCs w:val="24"/>
          <w:lang w:val="en-US" w:eastAsia="zh-CN"/>
        </w:rPr>
        <w:t>明显</w:t>
      </w:r>
      <w:r>
        <w:rPr>
          <w:rFonts w:hint="eastAsia" w:ascii="仿宋_GB2312" w:hAnsi="仿宋_GB2312" w:eastAsia="仿宋_GB2312" w:cs="Times New Roman"/>
          <w:color w:val="000000"/>
          <w:sz w:val="32"/>
          <w:szCs w:val="24"/>
        </w:rPr>
        <w:t>，乡村文化设施功能单一、活动供给不足、群众参与度不高，供需匹配度和服务效能有待提升。</w:t>
      </w:r>
    </w:p>
    <w:p w14:paraId="2F45FBE4">
      <w:pPr>
        <w:pStyle w:val="4"/>
        <w:shd w:val="clear"/>
        <w:ind w:firstLine="47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（五）体育产业链有待</w:t>
      </w:r>
      <w:r>
        <w:rPr>
          <w:rFonts w:hint="eastAsia" w:cs="Times New Roman"/>
          <w:color w:val="auto"/>
          <w:highlight w:val="none"/>
          <w:lang w:val="en-US" w:eastAsia="zh-CN"/>
        </w:rPr>
        <w:t>延伸</w:t>
      </w:r>
    </w:p>
    <w:p w14:paraId="57A0BA41">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cs="Times New Roman"/>
          <w:b w:val="0"/>
          <w:bCs w:val="0"/>
          <w:color w:val="000000"/>
          <w:sz w:val="32"/>
          <w:szCs w:val="24"/>
          <w:highlight w:val="none"/>
          <w:lang w:eastAsia="zh-CN"/>
        </w:rPr>
      </w:pPr>
      <w:r>
        <w:rPr>
          <w:rFonts w:hint="eastAsia" w:ascii="仿宋_GB2312" w:hAnsi="仿宋_GB2312" w:eastAsia="仿宋_GB2312" w:cs="Times New Roman"/>
          <w:color w:val="000000"/>
          <w:sz w:val="32"/>
          <w:szCs w:val="24"/>
        </w:rPr>
        <w:t>体育产业</w:t>
      </w:r>
      <w:r>
        <w:rPr>
          <w:rFonts w:hint="eastAsia" w:cs="Times New Roman"/>
          <w:color w:val="000000"/>
          <w:sz w:val="32"/>
          <w:szCs w:val="24"/>
          <w:lang w:val="en-US" w:eastAsia="zh-CN"/>
        </w:rPr>
        <w:t>整体</w:t>
      </w:r>
      <w:r>
        <w:rPr>
          <w:rStyle w:val="15"/>
          <w:rFonts w:hint="eastAsia" w:ascii="仿宋_GB2312" w:hAnsi="仿宋_GB2312" w:eastAsia="仿宋_GB2312" w:cs="Times New Roman"/>
          <w:b w:val="0"/>
          <w:bCs w:val="0"/>
          <w:color w:val="000000"/>
          <w:sz w:val="32"/>
          <w:szCs w:val="24"/>
        </w:rPr>
        <w:t>规模偏小、</w:t>
      </w:r>
      <w:r>
        <w:rPr>
          <w:rStyle w:val="15"/>
          <w:rFonts w:hint="eastAsia" w:cs="Times New Roman"/>
          <w:b w:val="0"/>
          <w:bCs w:val="0"/>
          <w:color w:val="000000"/>
          <w:sz w:val="32"/>
          <w:szCs w:val="24"/>
          <w:lang w:val="en-US" w:eastAsia="zh-CN"/>
        </w:rPr>
        <w:t>产业链</w:t>
      </w:r>
      <w:r>
        <w:rPr>
          <w:rStyle w:val="15"/>
          <w:rFonts w:hint="eastAsia" w:ascii="仿宋_GB2312" w:hAnsi="仿宋_GB2312" w:eastAsia="仿宋_GB2312" w:cs="Times New Roman"/>
          <w:b w:val="0"/>
          <w:bCs w:val="0"/>
          <w:color w:val="000000"/>
          <w:sz w:val="32"/>
          <w:szCs w:val="24"/>
        </w:rPr>
        <w:t>偏短、融合</w:t>
      </w:r>
      <w:r>
        <w:rPr>
          <w:rStyle w:val="15"/>
          <w:rFonts w:hint="eastAsia" w:cs="Times New Roman"/>
          <w:b w:val="0"/>
          <w:bCs w:val="0"/>
          <w:color w:val="000000"/>
          <w:sz w:val="32"/>
          <w:szCs w:val="24"/>
          <w:lang w:val="en-US" w:eastAsia="zh-CN"/>
        </w:rPr>
        <w:t>深度不足</w:t>
      </w:r>
      <w:r>
        <w:rPr>
          <w:rFonts w:hint="eastAsia" w:ascii="仿宋_GB2312" w:hAnsi="仿宋_GB2312" w:eastAsia="仿宋_GB2312" w:cs="Times New Roman"/>
          <w:color w:val="000000"/>
          <w:sz w:val="32"/>
          <w:szCs w:val="24"/>
        </w:rPr>
        <w:t>，支撑带动</w:t>
      </w:r>
      <w:r>
        <w:rPr>
          <w:rFonts w:hint="eastAsia" w:cs="Times New Roman"/>
          <w:color w:val="000000"/>
          <w:sz w:val="32"/>
          <w:szCs w:val="24"/>
          <w:lang w:val="en-US" w:eastAsia="zh-CN"/>
        </w:rPr>
        <w:t>能</w:t>
      </w:r>
      <w:r>
        <w:rPr>
          <w:rFonts w:hint="eastAsia" w:ascii="仿宋_GB2312" w:hAnsi="仿宋_GB2312" w:eastAsia="仿宋_GB2312" w:cs="Times New Roman"/>
          <w:color w:val="000000"/>
          <w:sz w:val="32"/>
          <w:szCs w:val="24"/>
        </w:rPr>
        <w:t>力</w:t>
      </w:r>
      <w:r>
        <w:rPr>
          <w:rFonts w:hint="eastAsia" w:cs="Times New Roman"/>
          <w:color w:val="000000"/>
          <w:sz w:val="32"/>
          <w:szCs w:val="24"/>
          <w:lang w:val="en-US" w:eastAsia="zh-CN"/>
        </w:rPr>
        <w:t>偏弱</w:t>
      </w:r>
      <w:r>
        <w:rPr>
          <w:rFonts w:hint="eastAsia" w:ascii="仿宋_GB2312" w:hAnsi="仿宋_GB2312" w:eastAsia="仿宋_GB2312" w:cs="Times New Roman"/>
          <w:color w:val="000000"/>
          <w:sz w:val="32"/>
          <w:szCs w:val="24"/>
        </w:rPr>
        <w:t>。</w:t>
      </w:r>
      <w:r>
        <w:rPr>
          <w:rStyle w:val="15"/>
          <w:rFonts w:hint="eastAsia" w:ascii="仿宋_GB2312" w:hAnsi="仿宋_GB2312" w:eastAsia="仿宋_GB2312" w:cs="Times New Roman"/>
          <w:b w:val="0"/>
          <w:bCs w:val="0"/>
          <w:color w:val="000000"/>
          <w:sz w:val="32"/>
          <w:szCs w:val="24"/>
        </w:rPr>
        <w:t>消费市场培育不足</w:t>
      </w:r>
      <w:r>
        <w:rPr>
          <w:rFonts w:hint="eastAsia" w:ascii="仿宋_GB2312" w:hAnsi="仿宋_GB2312" w:eastAsia="仿宋_GB2312" w:cs="Times New Roman"/>
          <w:color w:val="000000"/>
          <w:sz w:val="32"/>
          <w:szCs w:val="24"/>
        </w:rPr>
        <w:t>，消费群体过度集中于年轻人群，中老年康养、家庭亲子、大众健身等市场开发不够，消费场景单一</w:t>
      </w:r>
      <w:r>
        <w:rPr>
          <w:rFonts w:hint="eastAsia" w:cs="Times New Roman"/>
          <w:color w:val="000000"/>
          <w:sz w:val="32"/>
          <w:szCs w:val="24"/>
          <w:lang w:eastAsia="zh-CN"/>
        </w:rPr>
        <w:t>；</w:t>
      </w:r>
      <w:r>
        <w:rPr>
          <w:rStyle w:val="15"/>
          <w:rFonts w:hint="eastAsia" w:ascii="仿宋_GB2312" w:hAnsi="仿宋_GB2312" w:eastAsia="仿宋_GB2312" w:cs="Times New Roman"/>
          <w:b w:val="0"/>
          <w:bCs w:val="0"/>
          <w:color w:val="000000"/>
          <w:sz w:val="32"/>
          <w:szCs w:val="24"/>
        </w:rPr>
        <w:t>人才体系支撑薄弱</w:t>
      </w:r>
      <w:r>
        <w:rPr>
          <w:rFonts w:hint="eastAsia" w:ascii="仿宋_GB2312" w:hAnsi="仿宋_GB2312" w:eastAsia="仿宋_GB2312" w:cs="Times New Roman"/>
          <w:color w:val="000000"/>
          <w:sz w:val="32"/>
          <w:szCs w:val="24"/>
        </w:rPr>
        <w:t>，本地院校专业设置与冲浪、水上运动、赛事运营等需求脱节，专业人才</w:t>
      </w:r>
      <w:r>
        <w:rPr>
          <w:rFonts w:hint="eastAsia" w:cs="Times New Roman"/>
          <w:color w:val="000000"/>
          <w:sz w:val="32"/>
          <w:szCs w:val="24"/>
          <w:lang w:val="en-US" w:eastAsia="zh-CN"/>
        </w:rPr>
        <w:t>缺口大，</w:t>
      </w:r>
      <w:r>
        <w:rPr>
          <w:rFonts w:hint="eastAsia" w:ascii="仿宋_GB2312" w:hAnsi="仿宋_GB2312" w:eastAsia="仿宋_GB2312" w:cs="Times New Roman"/>
          <w:color w:val="000000"/>
          <w:sz w:val="32"/>
          <w:szCs w:val="24"/>
        </w:rPr>
        <w:t>从业人员技能、服务水平参差不齐，难以匹配国际化、高</w:t>
      </w:r>
      <w:r>
        <w:rPr>
          <w:rFonts w:hint="eastAsia" w:cs="Times New Roman"/>
          <w:color w:val="000000"/>
          <w:sz w:val="32"/>
          <w:szCs w:val="24"/>
          <w:lang w:val="en-US" w:eastAsia="zh-CN"/>
        </w:rPr>
        <w:t>质量</w:t>
      </w:r>
      <w:r>
        <w:rPr>
          <w:rFonts w:hint="eastAsia" w:ascii="仿宋_GB2312" w:hAnsi="仿宋_GB2312" w:eastAsia="仿宋_GB2312" w:cs="Times New Roman"/>
          <w:color w:val="000000"/>
          <w:sz w:val="32"/>
          <w:szCs w:val="24"/>
        </w:rPr>
        <w:t>发展要求</w:t>
      </w:r>
      <w:r>
        <w:rPr>
          <w:rFonts w:hint="eastAsia" w:cs="Times New Roman"/>
          <w:color w:val="000000"/>
          <w:sz w:val="32"/>
          <w:szCs w:val="24"/>
          <w:lang w:eastAsia="zh-CN"/>
        </w:rPr>
        <w:t>；</w:t>
      </w:r>
      <w:r>
        <w:rPr>
          <w:rStyle w:val="15"/>
          <w:rFonts w:hint="eastAsia" w:ascii="仿宋_GB2312" w:hAnsi="仿宋_GB2312" w:eastAsia="仿宋_GB2312" w:cs="Times New Roman"/>
          <w:b w:val="0"/>
          <w:bCs w:val="0"/>
          <w:color w:val="000000"/>
          <w:sz w:val="32"/>
          <w:szCs w:val="24"/>
        </w:rPr>
        <w:t>科技创新应用滞后</w:t>
      </w:r>
      <w:r>
        <w:rPr>
          <w:rFonts w:hint="eastAsia" w:ascii="仿宋_GB2312" w:hAnsi="仿宋_GB2312" w:eastAsia="仿宋_GB2312" w:cs="Times New Roman"/>
          <w:color w:val="000000"/>
          <w:sz w:val="32"/>
          <w:szCs w:val="24"/>
        </w:rPr>
        <w:t>，体育科技研发投入不足，人工造浪池、智能运动装备、数字化训练管理等新技术应用有限，受自然海浪</w:t>
      </w:r>
      <w:r>
        <w:rPr>
          <w:rFonts w:hint="eastAsia" w:cs="Times New Roman"/>
          <w:color w:val="000000"/>
          <w:sz w:val="32"/>
          <w:szCs w:val="24"/>
          <w:lang w:eastAsia="zh-CN"/>
        </w:rPr>
        <w:t>、</w:t>
      </w:r>
      <w:r>
        <w:rPr>
          <w:rFonts w:hint="eastAsia" w:ascii="仿宋_GB2312" w:hAnsi="仿宋_GB2312" w:eastAsia="仿宋_GB2312" w:cs="Times New Roman"/>
          <w:color w:val="000000"/>
          <w:sz w:val="32"/>
          <w:szCs w:val="24"/>
        </w:rPr>
        <w:t>季节波动制约明显</w:t>
      </w:r>
      <w:r>
        <w:rPr>
          <w:rFonts w:hint="eastAsia" w:cs="Times New Roman"/>
          <w:color w:val="000000"/>
          <w:sz w:val="32"/>
          <w:szCs w:val="24"/>
          <w:lang w:eastAsia="zh-CN"/>
        </w:rPr>
        <w:t>，</w:t>
      </w:r>
      <w:r>
        <w:rPr>
          <w:rFonts w:hint="eastAsia" w:ascii="仿宋_GB2312" w:hAnsi="仿宋_GB2312" w:eastAsia="仿宋_GB2312" w:cs="Times New Roman"/>
          <w:b w:val="0"/>
          <w:bCs w:val="0"/>
          <w:color w:val="000000"/>
          <w:sz w:val="32"/>
          <w:szCs w:val="24"/>
          <w:highlight w:val="none"/>
        </w:rPr>
        <w:t>产品供给同质化突出，个性化、定制化产品创新</w:t>
      </w:r>
      <w:r>
        <w:rPr>
          <w:rFonts w:hint="eastAsia" w:cs="Times New Roman"/>
          <w:b w:val="0"/>
          <w:bCs w:val="0"/>
          <w:color w:val="000000"/>
          <w:sz w:val="32"/>
          <w:szCs w:val="24"/>
          <w:highlight w:val="none"/>
          <w:lang w:val="en-US" w:eastAsia="zh-CN"/>
        </w:rPr>
        <w:t>不够</w:t>
      </w:r>
      <w:r>
        <w:rPr>
          <w:rFonts w:hint="eastAsia" w:ascii="仿宋_GB2312" w:hAnsi="仿宋_GB2312" w:eastAsia="仿宋_GB2312" w:cs="Times New Roman"/>
          <w:b w:val="0"/>
          <w:bCs w:val="0"/>
          <w:color w:val="000000"/>
          <w:sz w:val="32"/>
          <w:szCs w:val="24"/>
          <w:highlight w:val="none"/>
        </w:rPr>
        <w:t>，对市场新需求响应灵敏度</w:t>
      </w:r>
      <w:r>
        <w:rPr>
          <w:rFonts w:hint="eastAsia" w:cs="Times New Roman"/>
          <w:b w:val="0"/>
          <w:bCs w:val="0"/>
          <w:color w:val="000000"/>
          <w:sz w:val="32"/>
          <w:szCs w:val="24"/>
          <w:highlight w:val="none"/>
          <w:lang w:eastAsia="zh-CN"/>
        </w:rPr>
        <w:t>有待提升。</w:t>
      </w:r>
    </w:p>
    <w:p w14:paraId="2408E30A">
      <w:pPr>
        <w:pStyle w:val="4"/>
        <w:shd w:val="clear"/>
        <w:ind w:firstLine="643" w:firstLineChars="20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（六）公共服务设施不够完善</w:t>
      </w:r>
    </w:p>
    <w:p w14:paraId="67B940D6">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cs="Times New Roman"/>
          <w:color w:val="000000"/>
          <w:sz w:val="32"/>
          <w:szCs w:val="24"/>
          <w:lang w:eastAsia="zh-CN"/>
        </w:rPr>
      </w:pPr>
      <w:r>
        <w:rPr>
          <w:rFonts w:hint="eastAsia" w:ascii="仿宋_GB2312" w:hAnsi="仿宋_GB2312" w:eastAsia="仿宋_GB2312" w:cs="Times New Roman"/>
          <w:color w:val="000000"/>
          <w:sz w:val="32"/>
          <w:szCs w:val="24"/>
        </w:rPr>
        <w:t>公共文化、旅游服务与配套保障</w:t>
      </w:r>
      <w:r>
        <w:rPr>
          <w:rStyle w:val="15"/>
          <w:rFonts w:hint="eastAsia" w:ascii="仿宋_GB2312" w:hAnsi="仿宋_GB2312" w:eastAsia="仿宋_GB2312" w:cs="Times New Roman"/>
          <w:b w:val="0"/>
          <w:bCs w:val="0"/>
          <w:color w:val="000000"/>
          <w:sz w:val="32"/>
          <w:szCs w:val="24"/>
        </w:rPr>
        <w:t>总量不足、布局失衡、效能偏低</w:t>
      </w:r>
      <w:r>
        <w:rPr>
          <w:rFonts w:hint="eastAsia" w:ascii="仿宋_GB2312" w:hAnsi="仿宋_GB2312" w:eastAsia="仿宋_GB2312" w:cs="Times New Roman"/>
          <w:color w:val="000000"/>
          <w:sz w:val="32"/>
          <w:szCs w:val="24"/>
        </w:rPr>
        <w:t>，</w:t>
      </w:r>
      <w:r>
        <w:rPr>
          <w:rFonts w:hint="eastAsia" w:ascii="仿宋_GB2312" w:hAnsi="仿宋_GB2312" w:eastAsia="仿宋_GB2312" w:cs="Times New Roman"/>
          <w:color w:val="000000"/>
          <w:sz w:val="32"/>
          <w:szCs w:val="24"/>
          <w:highlight w:val="none"/>
        </w:rPr>
        <w:t>难以支撑</w:t>
      </w:r>
      <w:r>
        <w:rPr>
          <w:rFonts w:hint="eastAsia" w:ascii="仿宋_GB2312" w:hAnsi="仿宋_GB2312" w:eastAsia="仿宋_GB2312" w:cs="Times New Roman"/>
          <w:color w:val="000000"/>
          <w:sz w:val="32"/>
          <w:szCs w:val="24"/>
        </w:rPr>
        <w:t>文旅体产业高质量发展与国际化服务需求。</w:t>
      </w:r>
      <w:r>
        <w:rPr>
          <w:rStyle w:val="15"/>
          <w:rFonts w:hint="eastAsia" w:ascii="仿宋_GB2312" w:hAnsi="仿宋_GB2312" w:eastAsia="仿宋_GB2312" w:cs="Times New Roman"/>
          <w:b w:val="0"/>
          <w:bCs w:val="0"/>
          <w:color w:val="000000"/>
          <w:sz w:val="32"/>
          <w:szCs w:val="24"/>
        </w:rPr>
        <w:t>文化服务供需错配</w:t>
      </w:r>
      <w:r>
        <w:rPr>
          <w:rFonts w:hint="eastAsia" w:ascii="仿宋_GB2312" w:hAnsi="仿宋_GB2312" w:eastAsia="仿宋_GB2312" w:cs="Times New Roman"/>
          <w:color w:val="000000"/>
          <w:sz w:val="32"/>
          <w:szCs w:val="24"/>
        </w:rPr>
        <w:t>，文化设施集中于东部滨海及</w:t>
      </w:r>
      <w:r>
        <w:rPr>
          <w:rFonts w:hint="eastAsia" w:cs="Times New Roman"/>
          <w:color w:val="000000"/>
          <w:sz w:val="32"/>
          <w:szCs w:val="24"/>
          <w:lang w:val="en-US" w:eastAsia="zh-CN"/>
        </w:rPr>
        <w:t>城</w:t>
      </w:r>
      <w:r>
        <w:rPr>
          <w:rFonts w:hint="eastAsia" w:ascii="仿宋_GB2312" w:hAnsi="仿宋_GB2312" w:eastAsia="仿宋_GB2312" w:cs="Times New Roman"/>
          <w:color w:val="000000"/>
          <w:sz w:val="32"/>
          <w:szCs w:val="24"/>
        </w:rPr>
        <w:t>区，北部、西部乡镇覆盖薄弱；现有场馆功能单一、数字化改造滞后、互动体验弱，服务能力与群众需求、文旅融合定位不相匹配</w:t>
      </w:r>
      <w:r>
        <w:rPr>
          <w:rFonts w:hint="eastAsia" w:cs="Times New Roman"/>
          <w:color w:val="000000"/>
          <w:sz w:val="32"/>
          <w:szCs w:val="24"/>
          <w:lang w:eastAsia="zh-CN"/>
        </w:rPr>
        <w:t>；</w:t>
      </w:r>
      <w:r>
        <w:rPr>
          <w:rStyle w:val="15"/>
          <w:rFonts w:hint="eastAsia" w:ascii="仿宋_GB2312" w:hAnsi="仿宋_GB2312" w:eastAsia="仿宋_GB2312" w:cs="Times New Roman"/>
          <w:b w:val="0"/>
          <w:bCs w:val="0"/>
          <w:color w:val="000000"/>
          <w:sz w:val="32"/>
          <w:szCs w:val="24"/>
        </w:rPr>
        <w:t>旅游安全保障薄弱</w:t>
      </w:r>
      <w:r>
        <w:rPr>
          <w:rFonts w:hint="eastAsia" w:ascii="仿宋_GB2312" w:hAnsi="仿宋_GB2312" w:eastAsia="仿宋_GB2312" w:cs="Times New Roman"/>
          <w:color w:val="000000"/>
          <w:sz w:val="32"/>
          <w:szCs w:val="24"/>
        </w:rPr>
        <w:t>，海上运动、滨海旅游、户外探险等领域医疗救援体系不健全，站点稀疏、专业设备</w:t>
      </w:r>
      <w:r>
        <w:rPr>
          <w:rFonts w:hint="eastAsia" w:cs="Times New Roman"/>
          <w:color w:val="000000"/>
          <w:sz w:val="32"/>
          <w:szCs w:val="24"/>
          <w:lang w:val="en-US" w:eastAsia="zh-CN"/>
        </w:rPr>
        <w:t>及</w:t>
      </w:r>
      <w:r>
        <w:rPr>
          <w:rFonts w:hint="eastAsia" w:ascii="仿宋_GB2312" w:hAnsi="仿宋_GB2312" w:eastAsia="仿宋_GB2312" w:cs="Times New Roman"/>
          <w:color w:val="000000"/>
          <w:sz w:val="32"/>
          <w:szCs w:val="24"/>
        </w:rPr>
        <w:t>应急处置能力</w:t>
      </w:r>
      <w:r>
        <w:rPr>
          <w:rFonts w:hint="eastAsia" w:cs="Times New Roman"/>
          <w:color w:val="000000"/>
          <w:sz w:val="32"/>
          <w:szCs w:val="24"/>
          <w:lang w:val="en-US" w:eastAsia="zh-CN"/>
        </w:rPr>
        <w:t>不足</w:t>
      </w:r>
      <w:r>
        <w:rPr>
          <w:rFonts w:hint="eastAsia" w:ascii="仿宋_GB2312" w:hAnsi="仿宋_GB2312" w:eastAsia="仿宋_GB2312" w:cs="Times New Roman"/>
          <w:color w:val="000000"/>
          <w:sz w:val="32"/>
          <w:szCs w:val="24"/>
        </w:rPr>
        <w:t>，存在安全风险隐患</w:t>
      </w:r>
      <w:r>
        <w:rPr>
          <w:rFonts w:hint="eastAsia" w:cs="Times New Roman"/>
          <w:color w:val="000000"/>
          <w:sz w:val="32"/>
          <w:szCs w:val="24"/>
          <w:lang w:eastAsia="zh-CN"/>
        </w:rPr>
        <w:t>；</w:t>
      </w:r>
      <w:r>
        <w:rPr>
          <w:rStyle w:val="15"/>
          <w:rFonts w:hint="eastAsia" w:ascii="仿宋_GB2312" w:hAnsi="仿宋_GB2312" w:eastAsia="仿宋_GB2312" w:cs="Times New Roman"/>
          <w:b w:val="0"/>
          <w:bCs w:val="0"/>
          <w:color w:val="000000"/>
          <w:sz w:val="32"/>
          <w:szCs w:val="24"/>
        </w:rPr>
        <w:t>专业配套供给短缺</w:t>
      </w:r>
      <w:r>
        <w:rPr>
          <w:rFonts w:hint="eastAsia" w:ascii="仿宋_GB2312" w:hAnsi="仿宋_GB2312" w:eastAsia="仿宋_GB2312" w:cs="Times New Roman"/>
          <w:color w:val="000000"/>
          <w:sz w:val="32"/>
          <w:szCs w:val="24"/>
        </w:rPr>
        <w:t>，体育训练、文化教习、研学实践等标准化场地设施供给不足，</w:t>
      </w:r>
      <w:r>
        <w:rPr>
          <w:rFonts w:hint="eastAsia" w:cs="Times New Roman"/>
          <w:color w:val="000000"/>
          <w:sz w:val="32"/>
          <w:szCs w:val="24"/>
          <w:lang w:val="en-US" w:eastAsia="zh-CN"/>
        </w:rPr>
        <w:t>难以</w:t>
      </w:r>
      <w:r>
        <w:rPr>
          <w:rFonts w:hint="eastAsia" w:ascii="仿宋_GB2312" w:hAnsi="仿宋_GB2312" w:eastAsia="仿宋_GB2312" w:cs="Times New Roman"/>
          <w:color w:val="000000"/>
          <w:sz w:val="32"/>
          <w:szCs w:val="24"/>
        </w:rPr>
        <w:t>支撑产业提质升级与群众多元化服务需求</w:t>
      </w:r>
      <w:r>
        <w:rPr>
          <w:rFonts w:hint="eastAsia" w:cs="Times New Roman"/>
          <w:color w:val="000000"/>
          <w:sz w:val="32"/>
          <w:szCs w:val="24"/>
          <w:lang w:eastAsia="zh-CN"/>
        </w:rPr>
        <w:t>。</w:t>
      </w:r>
    </w:p>
    <w:p w14:paraId="6515F1E7">
      <w:pPr>
        <w:keepNext w:val="0"/>
        <w:keepLines w:val="0"/>
        <w:pageBreakBefore w:val="0"/>
        <w:widowControl/>
        <w:tabs>
          <w:tab w:val="left" w:pos="0"/>
        </w:tabs>
        <w:kinsoku/>
        <w:wordWrap/>
        <w:overflowPunct/>
        <w:topLinePunct w:val="0"/>
        <w:autoSpaceDE/>
        <w:autoSpaceDN/>
        <w:bidi w:val="0"/>
        <w:adjustRightInd w:val="0"/>
        <w:snapToGrid/>
        <w:spacing w:before="62" w:beforeLines="20" w:after="93" w:afterLines="30" w:line="640" w:lineRule="exact"/>
        <w:ind w:firstLine="643" w:firstLineChars="200"/>
        <w:jc w:val="both"/>
        <w:textAlignment w:val="auto"/>
        <w:outlineLvl w:val="1"/>
        <w:rPr>
          <w:rFonts w:hint="eastAsia" w:ascii="黑体" w:hAnsi="黑体" w:eastAsia="黑体" w:cs="黑体"/>
          <w:b/>
          <w:bCs/>
          <w:snapToGrid/>
          <w:color w:val="000000"/>
          <w:kern w:val="2"/>
          <w:sz w:val="32"/>
          <w:szCs w:val="32"/>
          <w:lang w:val="en-US" w:eastAsia="zh-CN" w:bidi="ar-SA"/>
        </w:rPr>
      </w:pPr>
      <w:r>
        <w:rPr>
          <w:rFonts w:hint="eastAsia" w:ascii="黑体" w:hAnsi="黑体" w:eastAsia="黑体" w:cs="黑体"/>
          <w:b/>
          <w:bCs/>
          <w:snapToGrid/>
          <w:color w:val="000000"/>
          <w:kern w:val="2"/>
          <w:sz w:val="32"/>
          <w:szCs w:val="32"/>
          <w:lang w:val="en-US" w:eastAsia="zh-CN" w:bidi="ar-SA"/>
        </w:rPr>
        <w:t>三、发展形势</w:t>
      </w:r>
      <w:bookmarkEnd w:id="49"/>
      <w:bookmarkEnd w:id="50"/>
      <w:bookmarkEnd w:id="51"/>
      <w:bookmarkEnd w:id="52"/>
      <w:bookmarkEnd w:id="53"/>
      <w:bookmarkEnd w:id="54"/>
      <w:bookmarkEnd w:id="55"/>
      <w:bookmarkEnd w:id="56"/>
      <w:bookmarkEnd w:id="57"/>
    </w:p>
    <w:p w14:paraId="36885A0F">
      <w:pPr>
        <w:pStyle w:val="4"/>
        <w:shd w:val="clear"/>
        <w:ind w:firstLine="47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（一）国际新格局</w:t>
      </w:r>
    </w:p>
    <w:p w14:paraId="544FA3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当前，世界百年未有之大变局加速演进，新一轮科技革命和产业变革深入推进，国际环境复杂多变</w:t>
      </w:r>
      <w:r>
        <w:rPr>
          <w:rFonts w:hint="eastAsia" w:cs="Times New Roman"/>
          <w:color w:val="000000"/>
          <w:sz w:val="32"/>
          <w:szCs w:val="24"/>
          <w:lang w:eastAsia="zh-CN"/>
        </w:rPr>
        <w:t>、</w:t>
      </w:r>
      <w:r>
        <w:rPr>
          <w:rStyle w:val="15"/>
          <w:rFonts w:hint="eastAsia" w:ascii="仿宋_GB2312" w:hAnsi="仿宋_GB2312" w:eastAsia="仿宋_GB2312" w:cs="Times New Roman"/>
          <w:b w:val="0"/>
          <w:bCs w:val="0"/>
          <w:color w:val="000000"/>
          <w:sz w:val="32"/>
          <w:szCs w:val="24"/>
        </w:rPr>
        <w:t>机遇</w:t>
      </w:r>
      <w:r>
        <w:rPr>
          <w:rFonts w:hint="eastAsia" w:cs="Times New Roman"/>
          <w:b w:val="0"/>
          <w:bCs w:val="0"/>
          <w:color w:val="000000"/>
          <w:sz w:val="32"/>
          <w:szCs w:val="24"/>
          <w:lang w:val="en-US" w:eastAsia="zh-CN"/>
        </w:rPr>
        <w:t>与</w:t>
      </w:r>
      <w:r>
        <w:rPr>
          <w:rStyle w:val="15"/>
          <w:rFonts w:hint="eastAsia" w:ascii="仿宋_GB2312" w:hAnsi="仿宋_GB2312" w:eastAsia="仿宋_GB2312" w:cs="Times New Roman"/>
          <w:b w:val="0"/>
          <w:bCs w:val="0"/>
          <w:color w:val="000000"/>
          <w:sz w:val="32"/>
          <w:szCs w:val="24"/>
        </w:rPr>
        <w:t>挑战</w:t>
      </w:r>
      <w:r>
        <w:rPr>
          <w:rFonts w:hint="eastAsia" w:cs="Times New Roman"/>
          <w:b w:val="0"/>
          <w:bCs w:val="0"/>
          <w:color w:val="000000"/>
          <w:sz w:val="32"/>
          <w:szCs w:val="24"/>
          <w:lang w:val="en-US" w:eastAsia="zh-CN"/>
        </w:rPr>
        <w:t>并存</w:t>
      </w:r>
      <w:r>
        <w:rPr>
          <w:rFonts w:hint="eastAsia" w:ascii="仿宋_GB2312" w:hAnsi="仿宋_GB2312" w:eastAsia="仿宋_GB2312" w:cs="Times New Roman"/>
          <w:color w:val="000000"/>
          <w:sz w:val="32"/>
          <w:szCs w:val="24"/>
        </w:rPr>
        <w:t>。全球体育旅游、滨海休闲、潮流度假成为文旅消费主流趋势，“一带一路”建设持续深化，国际旅游交流与体育赛事合作空间不断拓展。海南自贸港对外开放水平全面提升，政策红利持续释放，为万宁深度融入国际旅游市场、参与全球体育旅游产业分工、培育体育旅游新质生产力提供了重大战略机遇，有利于万宁打造面向世界的滨海运动旅游目的地，提升国际知名度与影响力。</w:t>
      </w:r>
    </w:p>
    <w:p w14:paraId="409F1F15">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（二）国内新要求</w:t>
      </w:r>
    </w:p>
    <w:p w14:paraId="4491D7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国家加快构建新发展格局，推动高质量发展，对文旅体产业提出</w:t>
      </w:r>
      <w:r>
        <w:rPr>
          <w:rStyle w:val="15"/>
          <w:rFonts w:hint="eastAsia" w:ascii="仿宋_GB2312" w:hAnsi="仿宋_GB2312" w:eastAsia="仿宋_GB2312" w:cs="Times New Roman"/>
          <w:b w:val="0"/>
          <w:bCs w:val="0"/>
          <w:color w:val="000000"/>
          <w:sz w:val="32"/>
          <w:szCs w:val="24"/>
        </w:rPr>
        <w:t>融合创新、绿色低碳、品质提升、安全规范</w:t>
      </w:r>
      <w:r>
        <w:rPr>
          <w:rFonts w:hint="eastAsia" w:ascii="仿宋_GB2312" w:hAnsi="仿宋_GB2312" w:eastAsia="仿宋_GB2312" w:cs="Times New Roman"/>
          <w:color w:val="000000"/>
          <w:sz w:val="32"/>
          <w:szCs w:val="24"/>
        </w:rPr>
        <w:t>的新要求。海南肩负建设中国特色自由贸易港、国际旅游消费中心的重大使命，需做强旅游文创、体育休闲、消费购物等主导产业，深化文旅体商融合，培育新质生产力，严守生态保护红线，推进乡村振兴与区域协调发展。万宁作为海南东部重要旅游节点，</w:t>
      </w:r>
      <w:r>
        <w:rPr>
          <w:rFonts w:hint="eastAsia" w:cs="Times New Roman"/>
          <w:color w:val="000000"/>
          <w:sz w:val="32"/>
          <w:szCs w:val="24"/>
          <w:lang w:val="en-US" w:eastAsia="zh-CN"/>
        </w:rPr>
        <w:t>需</w:t>
      </w:r>
      <w:r>
        <w:rPr>
          <w:rFonts w:hint="eastAsia" w:ascii="仿宋_GB2312" w:hAnsi="仿宋_GB2312" w:eastAsia="仿宋_GB2312" w:cs="Times New Roman"/>
          <w:color w:val="000000"/>
          <w:sz w:val="32"/>
          <w:szCs w:val="24"/>
        </w:rPr>
        <w:t>主动对接国家战略，以体育旅游为抓手，推动产业提质升级，完善公共服务，强化市场监管与风险防控，服务自贸港建设大局。</w:t>
      </w:r>
    </w:p>
    <w:p w14:paraId="1E3F8ABA">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（三）海南新环境</w:t>
      </w:r>
    </w:p>
    <w:p w14:paraId="54042D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海南正处于自贸港建设关键攻坚期，“一本三基四梁八柱”战略框架深入实施，旅游、文化、体育产业加速融合，但仍存在</w:t>
      </w:r>
      <w:r>
        <w:rPr>
          <w:rStyle w:val="15"/>
          <w:rFonts w:hint="eastAsia" w:ascii="仿宋_GB2312" w:hAnsi="仿宋_GB2312" w:eastAsia="仿宋_GB2312" w:cs="Times New Roman"/>
          <w:b w:val="0"/>
          <w:bCs w:val="0"/>
          <w:color w:val="000000"/>
          <w:sz w:val="32"/>
          <w:szCs w:val="24"/>
        </w:rPr>
        <w:t>产业结构</w:t>
      </w:r>
      <w:r>
        <w:rPr>
          <w:rStyle w:val="15"/>
          <w:rFonts w:hint="eastAsia" w:cs="Times New Roman"/>
          <w:b w:val="0"/>
          <w:bCs w:val="0"/>
          <w:color w:val="000000"/>
          <w:sz w:val="32"/>
          <w:szCs w:val="24"/>
          <w:lang w:eastAsia="zh-CN"/>
        </w:rPr>
        <w:t>扁平</w:t>
      </w:r>
      <w:r>
        <w:rPr>
          <w:rStyle w:val="15"/>
          <w:rFonts w:hint="eastAsia" w:ascii="仿宋_GB2312" w:hAnsi="仿宋_GB2312" w:eastAsia="仿宋_GB2312" w:cs="Times New Roman"/>
          <w:b w:val="0"/>
          <w:bCs w:val="0"/>
          <w:color w:val="000000"/>
          <w:sz w:val="32"/>
          <w:szCs w:val="24"/>
        </w:rPr>
        <w:t>、产业链条较短、高端供给不足、区域发展不均衡</w:t>
      </w:r>
      <w:r>
        <w:rPr>
          <w:rFonts w:hint="eastAsia" w:ascii="仿宋_GB2312" w:hAnsi="仿宋_GB2312" w:eastAsia="仿宋_GB2312" w:cs="Times New Roman"/>
          <w:color w:val="000000"/>
          <w:sz w:val="32"/>
          <w:szCs w:val="24"/>
        </w:rPr>
        <w:t>等短板。全省立足生态环境、气候条件、资源禀赋与文化特色，以“五向图强”培育新质生产力，推动旅游从观光向度假、体验、运动、消费复合型转型，加快打造国家体育旅游示范区、国际旅游消费中心。万宁凭借滨海资源、冲浪品牌、湾区集群等独特优势，被赋予打造体育旅游标杆、东部消费枢纽的重要定位，迎来政策叠加、资源赋能、市场扩容的黄金发展期。</w:t>
      </w:r>
    </w:p>
    <w:p w14:paraId="6240AEB3">
      <w:pPr>
        <w:pStyle w:val="4"/>
        <w:shd w:val="clear"/>
        <w:ind w:firstLine="479"/>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（四）万宁新变化</w:t>
      </w:r>
    </w:p>
    <w:p w14:paraId="58E6BFAF">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Times New Roman"/>
          <w:color w:val="000000"/>
          <w:sz w:val="32"/>
          <w:szCs w:val="24"/>
        </w:rPr>
      </w:pPr>
      <w:r>
        <w:rPr>
          <w:rFonts w:hint="eastAsia" w:ascii="仿宋_GB2312" w:hAnsi="仿宋_GB2312" w:eastAsia="仿宋_GB2312" w:cs="Times New Roman"/>
          <w:color w:val="000000"/>
          <w:sz w:val="32"/>
          <w:szCs w:val="24"/>
        </w:rPr>
        <w:t>经过多年发展，万宁已成功创建</w:t>
      </w:r>
      <w:r>
        <w:rPr>
          <w:rStyle w:val="15"/>
          <w:rFonts w:hint="eastAsia" w:ascii="仿宋_GB2312" w:hAnsi="仿宋_GB2312" w:eastAsia="仿宋_GB2312" w:cs="Times New Roman"/>
          <w:b w:val="0"/>
          <w:bCs w:val="0"/>
          <w:color w:val="000000"/>
          <w:sz w:val="32"/>
          <w:szCs w:val="24"/>
        </w:rPr>
        <w:t>省级全域旅游示范区、省级体育旅游示范区</w:t>
      </w:r>
      <w:r>
        <w:rPr>
          <w:rFonts w:hint="eastAsia" w:ascii="仿宋_GB2312" w:hAnsi="仿宋_GB2312" w:eastAsia="仿宋_GB2312" w:cs="Times New Roman"/>
          <w:color w:val="000000"/>
          <w:sz w:val="32"/>
          <w:szCs w:val="24"/>
        </w:rPr>
        <w:t>，石梅湾获评国家级旅游度假区，日月湾成为全国知名冲浪目的地，“体育+旅游+文化+消费”融合模式成熟见效，旅游接待人次与收入连续保持稳步增长，冲浪、水上运动、音乐节、免税购物成为核心品牌。“十五五”时期，万宁</w:t>
      </w:r>
      <w:r>
        <w:rPr>
          <w:rFonts w:hint="eastAsia" w:cs="Times New Roman"/>
          <w:color w:val="000000"/>
          <w:sz w:val="32"/>
          <w:szCs w:val="24"/>
          <w:lang w:val="en-US" w:eastAsia="zh-CN"/>
        </w:rPr>
        <w:t>应</w:t>
      </w:r>
      <w:r>
        <w:rPr>
          <w:rFonts w:hint="eastAsia" w:ascii="仿宋_GB2312" w:hAnsi="仿宋_GB2312" w:eastAsia="仿宋_GB2312" w:cs="Times New Roman"/>
          <w:color w:val="000000"/>
          <w:sz w:val="32"/>
          <w:szCs w:val="24"/>
        </w:rPr>
        <w:t>深度释放自贸港政策效应，聚焦</w:t>
      </w:r>
      <w:r>
        <w:rPr>
          <w:rStyle w:val="15"/>
          <w:rFonts w:hint="eastAsia" w:ascii="仿宋_GB2312" w:hAnsi="仿宋_GB2312" w:eastAsia="仿宋_GB2312" w:cs="Times New Roman"/>
          <w:b w:val="0"/>
          <w:bCs w:val="0"/>
          <w:color w:val="000000"/>
          <w:sz w:val="32"/>
          <w:szCs w:val="24"/>
        </w:rPr>
        <w:t>文旅体商深度融合、全产业链构建、高端业态培育</w:t>
      </w:r>
      <w:r>
        <w:rPr>
          <w:rFonts w:hint="eastAsia" w:ascii="仿宋_GB2312" w:hAnsi="仿宋_GB2312" w:eastAsia="仿宋_GB2312" w:cs="Times New Roman"/>
          <w:color w:val="000000"/>
          <w:sz w:val="32"/>
          <w:szCs w:val="24"/>
        </w:rPr>
        <w:t>，全力打造世界级冲浪旅游目的地，完善“一湾一品、海陆空协同”的全域体育旅游格局；同时加快补齐基础设施、公共服务、产业配套、国际化水平等短板，培育低空经济、海洋经济、露营经济等新质生产力，统筹生态保护、城乡协同与乡村振兴，推动旅游产业向百亿级产业链迈进，建成特色鲜明、宜居宜游的高品质国家体育旅游示范区。</w:t>
      </w:r>
    </w:p>
    <w:p w14:paraId="2C64F4E9">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Times New Roman"/>
          <w:snapToGrid/>
          <w:color w:val="000000"/>
          <w:spacing w:val="0"/>
          <w:kern w:val="2"/>
          <w:sz w:val="32"/>
          <w:szCs w:val="24"/>
          <w:lang w:val="en-US" w:eastAsia="zh-CN"/>
        </w:rPr>
      </w:pPr>
    </w:p>
    <w:p w14:paraId="06698E93">
      <w:pPr>
        <w:rPr>
          <w:rFonts w:hint="eastAsia" w:ascii="仿宋_GB2312" w:hAnsi="仿宋_GB2312" w:eastAsia="仿宋_GB2312" w:cs="Times New Roman"/>
          <w:snapToGrid/>
          <w:color w:val="000000"/>
          <w:spacing w:val="0"/>
          <w:kern w:val="2"/>
          <w:sz w:val="32"/>
          <w:szCs w:val="24"/>
          <w:lang w:val="en-US" w:eastAsia="zh-CN"/>
        </w:rPr>
      </w:pPr>
      <w:r>
        <w:rPr>
          <w:rFonts w:hint="eastAsia" w:ascii="仿宋_GB2312" w:hAnsi="仿宋_GB2312" w:eastAsia="仿宋_GB2312" w:cs="Times New Roman"/>
          <w:snapToGrid/>
          <w:color w:val="000000"/>
          <w:spacing w:val="0"/>
          <w:kern w:val="2"/>
          <w:sz w:val="32"/>
          <w:szCs w:val="24"/>
          <w:lang w:val="en-US" w:eastAsia="zh-CN"/>
        </w:rPr>
        <w:br w:type="page"/>
      </w:r>
    </w:p>
    <w:p w14:paraId="58E43BAE">
      <w:pPr>
        <w:pStyle w:val="2"/>
        <w:shd w:val="clear"/>
        <w:spacing w:after="62"/>
        <w:ind w:firstLine="0" w:firstLineChars="0"/>
        <w:jc w:val="center"/>
        <w:rPr>
          <w:rFonts w:hint="eastAsia"/>
          <w:b w:val="0"/>
          <w:bCs/>
          <w:color w:val="auto"/>
          <w:sz w:val="36"/>
          <w:szCs w:val="48"/>
          <w:highlight w:val="none"/>
        </w:rPr>
      </w:pPr>
      <w:bookmarkStart w:id="58" w:name="_Toc31139"/>
      <w:bookmarkStart w:id="59" w:name="_Toc24238"/>
      <w:bookmarkStart w:id="60" w:name="_Toc10995"/>
      <w:r>
        <w:rPr>
          <w:rFonts w:hint="eastAsia"/>
          <w:b w:val="0"/>
          <w:bCs/>
          <w:color w:val="auto"/>
          <w:sz w:val="36"/>
          <w:szCs w:val="48"/>
          <w:highlight w:val="none"/>
        </w:rPr>
        <w:t>第二章 总体要求</w:t>
      </w:r>
      <w:bookmarkEnd w:id="58"/>
      <w:bookmarkEnd w:id="59"/>
      <w:bookmarkEnd w:id="60"/>
    </w:p>
    <w:p w14:paraId="077EAA56">
      <w:pPr>
        <w:pStyle w:val="3"/>
        <w:shd w:val="clear"/>
        <w:spacing w:before="62" w:after="93"/>
        <w:ind w:firstLine="643"/>
        <w:jc w:val="left"/>
        <w:rPr>
          <w:rFonts w:hint="eastAsia"/>
          <w:b w:val="0"/>
          <w:bCs/>
          <w:color w:val="auto"/>
          <w:highlight w:val="none"/>
        </w:rPr>
      </w:pPr>
      <w:bookmarkStart w:id="61" w:name="_Toc8472"/>
      <w:bookmarkStart w:id="62" w:name="_Toc4555"/>
      <w:bookmarkStart w:id="63" w:name="_Toc12333"/>
      <w:r>
        <w:rPr>
          <w:rFonts w:hint="eastAsia"/>
          <w:b w:val="0"/>
          <w:bCs/>
          <w:color w:val="auto"/>
          <w:highlight w:val="none"/>
        </w:rPr>
        <w:t>一、指导思想</w:t>
      </w:r>
      <w:bookmarkEnd w:id="61"/>
      <w:bookmarkEnd w:id="62"/>
      <w:bookmarkEnd w:id="63"/>
    </w:p>
    <w:p w14:paraId="2AD5C67D">
      <w:pPr>
        <w:rPr>
          <w:rFonts w:hint="eastAsia"/>
        </w:rPr>
      </w:pPr>
      <w:r>
        <w:rPr>
          <w:rFonts w:hint="eastAsia"/>
        </w:rPr>
        <w:t>以习近平新时代中国特色社会主义思想为指导，全面贯彻落实党的二十大和二十届历次全会精神，以及习近平总书记关于海南工作的系列重要讲话和指示批示精神，认真落实省委八届历次全会和省委经济工作会议精神，按照市委十四届历次全会和市委经济工作会议部署要求，完整准确全面贯彻新发展理念，着力推动高质量发展，紧紧围绕建设“</w:t>
      </w:r>
      <w:r>
        <w:rPr>
          <w:rFonts w:hint="eastAsia"/>
          <w:b/>
          <w:bCs/>
        </w:rPr>
        <w:t>全省重要经济增长极、滨海城市带重要节点城市</w:t>
      </w:r>
      <w:r>
        <w:rPr>
          <w:rFonts w:hint="eastAsia"/>
        </w:rPr>
        <w:t>”战略定位，抢抓海南自由贸易港全岛封关运作重大历史机遇，高举“</w:t>
      </w:r>
      <w:r>
        <w:rPr>
          <w:rFonts w:hint="eastAsia"/>
          <w:b/>
          <w:bCs/>
        </w:rPr>
        <w:t>华侨、咖啡、冲浪、渔业、乡村</w:t>
      </w:r>
      <w:r>
        <w:rPr>
          <w:rFonts w:hint="eastAsia"/>
        </w:rPr>
        <w:t>”五张牌，持续夯实文化和体育赋能旅游发展基础，推动科技创新和旅游产业深度融合，积极培育壮大新质生产力，将万宁打造成为</w:t>
      </w:r>
      <w:r>
        <w:rPr>
          <w:rFonts w:hint="eastAsia"/>
          <w:b/>
          <w:bCs/>
        </w:rPr>
        <w:t>世界级冲浪旅游胜地</w:t>
      </w:r>
      <w:r>
        <w:rPr>
          <w:rFonts w:hint="eastAsia"/>
        </w:rPr>
        <w:t>和</w:t>
      </w:r>
      <w:r>
        <w:rPr>
          <w:rFonts w:hint="eastAsia"/>
          <w:b/>
          <w:bCs/>
        </w:rPr>
        <w:t>海南东部重要旅游消费目的地</w:t>
      </w:r>
      <w:r>
        <w:rPr>
          <w:rFonts w:hint="eastAsia"/>
        </w:rPr>
        <w:t>，争当海南旅游高质量发展优等生，为海南加快建设国际旅游消费中心贡献万宁力量。</w:t>
      </w:r>
    </w:p>
    <w:p w14:paraId="0B961D53">
      <w:pPr>
        <w:pStyle w:val="3"/>
        <w:shd w:val="clear"/>
        <w:spacing w:before="62" w:after="93"/>
        <w:ind w:firstLine="643"/>
        <w:jc w:val="left"/>
        <w:rPr>
          <w:rFonts w:hint="eastAsia"/>
          <w:b w:val="0"/>
          <w:bCs/>
          <w:color w:val="auto"/>
          <w:highlight w:val="none"/>
        </w:rPr>
      </w:pPr>
      <w:bookmarkStart w:id="64" w:name="_Toc29434"/>
      <w:bookmarkStart w:id="65" w:name="_Toc419"/>
      <w:bookmarkStart w:id="66" w:name="_Toc23870"/>
      <w:r>
        <w:rPr>
          <w:rFonts w:hint="eastAsia"/>
          <w:b w:val="0"/>
          <w:bCs/>
          <w:color w:val="auto"/>
          <w:highlight w:val="none"/>
        </w:rPr>
        <w:t>二、基本原则</w:t>
      </w:r>
      <w:bookmarkEnd w:id="64"/>
      <w:bookmarkEnd w:id="65"/>
      <w:bookmarkEnd w:id="66"/>
    </w:p>
    <w:p w14:paraId="2A0DFA03">
      <w:pPr>
        <w:pStyle w:val="4"/>
        <w:shd w:val="clear"/>
        <w:ind w:firstLine="479"/>
        <w:rPr>
          <w:rFonts w:hint="eastAsia"/>
          <w:color w:val="auto"/>
          <w:highlight w:val="none"/>
          <w:lang w:val="en-US" w:eastAsia="zh-CN"/>
        </w:rPr>
      </w:pPr>
      <w:r>
        <w:rPr>
          <w:rFonts w:hint="eastAsia"/>
          <w:color w:val="auto"/>
          <w:highlight w:val="none"/>
          <w:lang w:val="en-US" w:eastAsia="zh-CN"/>
        </w:rPr>
        <w:t>（一）守正创新</w:t>
      </w:r>
    </w:p>
    <w:p w14:paraId="7459AF1B">
      <w:pPr>
        <w:ind w:left="0" w:leftChars="0" w:firstLine="640" w:firstLineChars="200"/>
        <w:rPr>
          <w:rFonts w:hint="eastAsia" w:cs="仿宋_GB2312"/>
          <w:color w:val="000000" w:themeColor="text1"/>
          <w:sz w:val="32"/>
          <w:szCs w:val="32"/>
          <w:lang w:val="en-US" w:eastAsia="zh-CN"/>
          <w14:textFill>
            <w14:solidFill>
              <w14:schemeClr w14:val="tx1"/>
            </w14:solidFill>
          </w14:textFill>
        </w:rPr>
      </w:pPr>
      <w:r>
        <w:rPr>
          <w:rFonts w:hint="eastAsia" w:cs="仿宋_GB2312"/>
          <w:color w:val="000000" w:themeColor="text1"/>
          <w:sz w:val="32"/>
          <w:szCs w:val="32"/>
          <w:lang w:val="en-US" w:eastAsia="zh-CN"/>
          <w14:textFill>
            <w14:solidFill>
              <w14:schemeClr w14:val="tx1"/>
            </w14:solidFill>
          </w14:textFill>
        </w:rPr>
        <w:t>立足万宁资源禀赋与历史底蕴，坚守旅游发展根本，探索保护与发展互融模式，实现文旅资源科学保护与可持续发展统一。坚持高质量发展，提升行业服务水平，丰富产品供给、延伸产业链条，强化科技赋能推进数字文旅建设，将旅游业打造成具备时代特征的民生产业、幸福产业。</w:t>
      </w:r>
    </w:p>
    <w:p w14:paraId="30CD1767">
      <w:pPr>
        <w:pStyle w:val="4"/>
        <w:shd w:val="clear"/>
        <w:ind w:firstLine="479"/>
        <w:rPr>
          <w:rFonts w:hint="eastAsia"/>
          <w:color w:val="auto"/>
          <w:highlight w:val="none"/>
          <w:lang w:val="en-US" w:eastAsia="zh-CN"/>
        </w:rPr>
      </w:pPr>
      <w:r>
        <w:rPr>
          <w:rFonts w:hint="eastAsia"/>
          <w:color w:val="auto"/>
          <w:highlight w:val="none"/>
          <w:lang w:val="en-US" w:eastAsia="zh-CN"/>
        </w:rPr>
        <w:t>（二）陆海统筹</w:t>
      </w:r>
    </w:p>
    <w:p w14:paraId="4B0F4385">
      <w:pPr>
        <w:ind w:left="0" w:leftChars="0"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cs="仿宋_GB2312"/>
          <w:b w:val="0"/>
          <w:bCs w:val="0"/>
          <w:color w:val="000000" w:themeColor="text1"/>
          <w:sz w:val="32"/>
          <w:szCs w:val="32"/>
          <w:lang w:val="en-US" w:eastAsia="zh-CN"/>
          <w14:textFill>
            <w14:solidFill>
              <w14:schemeClr w14:val="tx1"/>
            </w14:solidFill>
          </w14:textFill>
        </w:rPr>
        <w:t>强化陆海统筹、山海联动、资源融通，推动全市海洋旅游跨越式发展。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坚持以文塑旅、以旅彰文，</w:t>
      </w:r>
      <w:r>
        <w:rPr>
          <w:rFonts w:hint="eastAsia" w:cs="仿宋_GB2312"/>
          <w:color w:val="000000" w:themeColor="text1"/>
          <w:sz w:val="32"/>
          <w:szCs w:val="32"/>
          <w:lang w:val="en-US" w:eastAsia="zh-CN"/>
          <w14:textFill>
            <w14:solidFill>
              <w14:schemeClr w14:val="tx1"/>
            </w14:solidFill>
          </w14:textFill>
        </w:rPr>
        <w:t>深化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文化和旅游与农业、体育、科技等领域融合互促，培育新产品、新场景、新业态、新服务，提升核心竞争力，在更大范围、更深层次、更高水平上</w:t>
      </w:r>
      <w:r>
        <w:rPr>
          <w:rFonts w:hint="eastAsia" w:cs="仿宋_GB2312"/>
          <w:color w:val="000000" w:themeColor="text1"/>
          <w:sz w:val="32"/>
          <w:szCs w:val="32"/>
          <w:lang w:val="en-US" w:eastAsia="zh-CN"/>
          <w14:textFill>
            <w14:solidFill>
              <w14:schemeClr w14:val="tx1"/>
            </w14:solidFill>
          </w14:textFill>
        </w:rPr>
        <w:t>释放文旅赋能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w:t>
      </w:r>
      <w:r>
        <w:rPr>
          <w:rFonts w:hint="eastAsia" w:cs="仿宋_GB2312"/>
          <w:color w:val="000000" w:themeColor="text1"/>
          <w:sz w:val="32"/>
          <w:szCs w:val="32"/>
          <w:lang w:val="en-US"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经济社会发展的强大动能。</w:t>
      </w:r>
    </w:p>
    <w:p w14:paraId="7F389958">
      <w:pPr>
        <w:pStyle w:val="4"/>
        <w:shd w:val="clear"/>
        <w:ind w:firstLine="479"/>
        <w:rPr>
          <w:rFonts w:hint="eastAsia"/>
          <w:color w:val="auto"/>
          <w:highlight w:val="none"/>
          <w:lang w:val="en-US" w:eastAsia="zh-CN"/>
        </w:rPr>
      </w:pPr>
      <w:r>
        <w:rPr>
          <w:rFonts w:hint="eastAsia"/>
          <w:color w:val="auto"/>
          <w:highlight w:val="none"/>
          <w:lang w:val="en-US" w:eastAsia="zh-CN"/>
        </w:rPr>
        <w:t>（三）差异发展</w:t>
      </w:r>
    </w:p>
    <w:p w14:paraId="2BCEDA0F">
      <w:pPr>
        <w:ind w:left="0" w:leftChars="0" w:firstLine="640" w:firstLineChars="200"/>
        <w:rPr>
          <w:rFonts w:hint="eastAsia" w:cs="仿宋_GB2312"/>
          <w:color w:val="000000" w:themeColor="text1"/>
          <w:sz w:val="32"/>
          <w:szCs w:val="32"/>
          <w:highlight w:val="none"/>
          <w:lang w:val="en-US" w:eastAsia="zh-CN"/>
          <w14:textFill>
            <w14:solidFill>
              <w14:schemeClr w14:val="tx1"/>
            </w14:solidFill>
          </w14:textFill>
        </w:rPr>
      </w:pPr>
      <w:r>
        <w:rPr>
          <w:rFonts w:hint="eastAsia" w:cs="仿宋_GB2312"/>
          <w:color w:val="000000" w:themeColor="text1"/>
          <w:sz w:val="32"/>
          <w:szCs w:val="32"/>
          <w:highlight w:val="none"/>
          <w:lang w:val="en-US" w:eastAsia="zh-CN"/>
          <w14:textFill>
            <w14:solidFill>
              <w14:schemeClr w14:val="tx1"/>
            </w14:solidFill>
          </w14:textFill>
        </w:rPr>
        <w:t>聚焦滨海湾区、华侨文化、体旅融合、乡村休闲等核心资源，实施“旅游产品多元化”提升行动，打造一批具有文化内涵的“小而精”旅游新场景，通过深度整合资源、引入精准投资、塑造品牌IP，构建“小而美、特而强”的差异化文旅格局，全力打造成世界级冲浪旅游胜地。</w:t>
      </w:r>
    </w:p>
    <w:p w14:paraId="4B769B70">
      <w:pPr>
        <w:pStyle w:val="4"/>
        <w:shd w:val="clear"/>
        <w:ind w:firstLine="479"/>
        <w:rPr>
          <w:rFonts w:hint="default"/>
          <w:color w:val="auto"/>
          <w:highlight w:val="none"/>
          <w:lang w:val="en-US" w:eastAsia="zh-CN"/>
        </w:rPr>
      </w:pPr>
      <w:r>
        <w:rPr>
          <w:rFonts w:hint="eastAsia"/>
          <w:color w:val="auto"/>
          <w:highlight w:val="none"/>
          <w:lang w:val="en-US" w:eastAsia="zh-CN"/>
        </w:rPr>
        <w:t>（四）</w:t>
      </w:r>
      <w:r>
        <w:rPr>
          <w:rFonts w:hint="default"/>
          <w:color w:val="auto"/>
          <w:highlight w:val="none"/>
          <w:lang w:val="en-US" w:eastAsia="zh-CN"/>
        </w:rPr>
        <w:t>科技</w:t>
      </w:r>
      <w:r>
        <w:rPr>
          <w:rFonts w:hint="eastAsia"/>
          <w:color w:val="auto"/>
          <w:highlight w:val="none"/>
          <w:lang w:val="en-US" w:eastAsia="zh-CN"/>
        </w:rPr>
        <w:t>赋能</w:t>
      </w:r>
    </w:p>
    <w:p w14:paraId="0691D262">
      <w:pPr>
        <w:ind w:left="0" w:leftChars="0" w:firstLine="640" w:firstLineChars="200"/>
        <w:rPr>
          <w:rFonts w:hint="default" w:cs="仿宋_GB2312"/>
          <w:color w:val="000000" w:themeColor="text1"/>
          <w:sz w:val="32"/>
          <w:szCs w:val="32"/>
          <w:lang w:val="en-US" w:eastAsia="zh-CN"/>
          <w14:textFill>
            <w14:solidFill>
              <w14:schemeClr w14:val="tx1"/>
            </w14:solidFill>
          </w14:textFill>
        </w:rPr>
      </w:pPr>
      <w:r>
        <w:rPr>
          <w:rFonts w:hint="eastAsia" w:cs="仿宋_GB2312"/>
          <w:color w:val="000000" w:themeColor="text1"/>
          <w:sz w:val="32"/>
          <w:szCs w:val="32"/>
          <w:lang w:val="en-US" w:eastAsia="zh-CN"/>
          <w14:textFill>
            <w14:solidFill>
              <w14:schemeClr w14:val="tx1"/>
            </w14:solidFill>
          </w14:textFill>
        </w:rPr>
        <w:t>运用现代信息技术推动旅游产业智慧化升级，加快智慧旅游平台建设，提高旅游管理效率与服务水平。综合</w:t>
      </w:r>
      <w:r>
        <w:rPr>
          <w:rFonts w:hint="default" w:cs="仿宋_GB2312"/>
          <w:color w:val="000000" w:themeColor="text1"/>
          <w:sz w:val="32"/>
          <w:szCs w:val="32"/>
          <w:lang w:val="en-US" w:eastAsia="zh-CN"/>
          <w14:textFill>
            <w14:solidFill>
              <w14:schemeClr w14:val="tx1"/>
            </w14:solidFill>
          </w14:textFill>
        </w:rPr>
        <w:t>应</w:t>
      </w:r>
      <w:r>
        <w:rPr>
          <w:rFonts w:hint="eastAsia" w:cs="仿宋_GB2312"/>
          <w:color w:val="000000" w:themeColor="text1"/>
          <w:sz w:val="32"/>
          <w:szCs w:val="32"/>
          <w:lang w:val="en-US" w:eastAsia="zh-CN"/>
          <w14:textFill>
            <w14:solidFill>
              <w14:schemeClr w14:val="tx1"/>
            </w14:solidFill>
          </w14:textFill>
        </w:rPr>
        <w:t>用人工智能、大数据、生成式AI等信息技术，为游客提供更便捷的个性化旅游体验，</w:t>
      </w:r>
      <w:r>
        <w:rPr>
          <w:rFonts w:hint="default" w:cs="仿宋_GB2312"/>
          <w:color w:val="000000" w:themeColor="text1"/>
          <w:sz w:val="32"/>
          <w:szCs w:val="32"/>
          <w:lang w:val="en-US" w:eastAsia="zh-CN"/>
          <w14:textFill>
            <w14:solidFill>
              <w14:schemeClr w14:val="tx1"/>
            </w14:solidFill>
          </w14:textFill>
        </w:rPr>
        <w:t>助力</w:t>
      </w:r>
      <w:r>
        <w:rPr>
          <w:rFonts w:hint="eastAsia" w:cs="仿宋_GB2312"/>
          <w:color w:val="000000" w:themeColor="text1"/>
          <w:sz w:val="32"/>
          <w:szCs w:val="32"/>
          <w:lang w:val="en-US" w:eastAsia="zh-CN"/>
          <w14:textFill>
            <w14:solidFill>
              <w14:schemeClr w14:val="tx1"/>
            </w14:solidFill>
          </w14:textFill>
        </w:rPr>
        <w:t>万宁向数字化、智慧化文旅转型。</w:t>
      </w:r>
    </w:p>
    <w:p w14:paraId="691CAD2C">
      <w:pPr>
        <w:pStyle w:val="4"/>
        <w:shd w:val="clear"/>
        <w:ind w:firstLine="479"/>
        <w:rPr>
          <w:rFonts w:hint="eastAsia"/>
          <w:color w:val="auto"/>
          <w:highlight w:val="none"/>
          <w:lang w:val="en-US" w:eastAsia="zh-CN"/>
        </w:rPr>
      </w:pPr>
      <w:r>
        <w:rPr>
          <w:rFonts w:hint="eastAsia"/>
          <w:color w:val="auto"/>
          <w:highlight w:val="none"/>
          <w:lang w:val="en-US" w:eastAsia="zh-CN"/>
        </w:rPr>
        <w:t>（五）区域协作</w:t>
      </w:r>
    </w:p>
    <w:p w14:paraId="0E8EF8F6">
      <w:pPr>
        <w:ind w:left="0" w:leftChars="0" w:firstLine="640" w:firstLineChars="200"/>
        <w:rPr>
          <w:rFonts w:hint="eastAsia" w:cs="仿宋_GB2312"/>
          <w:color w:val="000000" w:themeColor="text1"/>
          <w:sz w:val="32"/>
          <w:szCs w:val="32"/>
          <w:highlight w:val="none"/>
          <w:lang w:val="en-US" w:eastAsia="zh-CN"/>
          <w14:textFill>
            <w14:solidFill>
              <w14:schemeClr w14:val="tx1"/>
            </w14:solidFill>
          </w14:textFill>
        </w:rPr>
      </w:pPr>
      <w:r>
        <w:rPr>
          <w:rFonts w:hint="eastAsia" w:cs="仿宋_GB2312"/>
          <w:color w:val="000000" w:themeColor="text1"/>
          <w:sz w:val="32"/>
          <w:szCs w:val="32"/>
          <w:highlight w:val="none"/>
          <w:lang w:val="en-US" w:eastAsia="zh-CN"/>
          <w14:textFill>
            <w14:solidFill>
              <w14:schemeClr w14:val="tx1"/>
            </w14:solidFill>
          </w14:textFill>
        </w:rPr>
        <w:t>找准抓实万宁高水平对外开放的着力点与突破口，围绕“东南亚国家合作示范区”战略定位，探索创新区域合作模式，加快构建资金、人才、文旅项目双向高效流通机制。抢抓海南自贸港封关运作重大历史机遇，强化万宁连接内陆与海外市场的桥梁纽带作用，全力打造我国面向全球集聚优质资源、承接产业项目的重要桥头堡与功能中转站。</w:t>
      </w:r>
    </w:p>
    <w:p w14:paraId="55917876">
      <w:pPr>
        <w:pStyle w:val="3"/>
        <w:shd w:val="clear"/>
        <w:spacing w:before="62" w:after="93"/>
        <w:ind w:firstLine="643"/>
        <w:jc w:val="left"/>
        <w:rPr>
          <w:rFonts w:hint="eastAsia"/>
          <w:b w:val="0"/>
          <w:bCs/>
          <w:color w:val="auto"/>
          <w:highlight w:val="none"/>
        </w:rPr>
      </w:pPr>
      <w:bookmarkStart w:id="67" w:name="_Toc13870"/>
      <w:bookmarkStart w:id="68" w:name="_Toc7578"/>
      <w:bookmarkStart w:id="69" w:name="_Toc29558"/>
      <w:r>
        <w:rPr>
          <w:rFonts w:hint="eastAsia"/>
          <w:b w:val="0"/>
          <w:bCs/>
          <w:color w:val="auto"/>
          <w:highlight w:val="none"/>
        </w:rPr>
        <w:t>三、发展目标</w:t>
      </w:r>
      <w:bookmarkEnd w:id="67"/>
      <w:bookmarkEnd w:id="68"/>
      <w:bookmarkEnd w:id="69"/>
    </w:p>
    <w:p w14:paraId="69339936">
      <w:pPr>
        <w:pStyle w:val="4"/>
        <w:ind w:firstLine="643" w:firstLineChars="200"/>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eastAsia"/>
          <w:color w:val="auto"/>
          <w:highlight w:val="none"/>
          <w:lang w:val="en-US" w:eastAsia="zh-CN"/>
        </w:rPr>
        <w:t>（一）总体目标</w:t>
      </w:r>
    </w:p>
    <w:p w14:paraId="64094E7B">
      <w:pPr>
        <w:ind w:firstLine="643"/>
        <w:rPr>
          <w:rFonts w:hint="eastAsia"/>
          <w:lang w:eastAsia="zh-CN"/>
        </w:rPr>
      </w:pPr>
      <w:r>
        <w:rPr>
          <w:rFonts w:hint="eastAsia"/>
          <w:lang w:eastAsia="zh-CN"/>
        </w:rPr>
        <w:t>到2030年，力争</w:t>
      </w:r>
      <w:r>
        <w:rPr>
          <w:rFonts w:hint="eastAsia"/>
          <w:lang w:val="en-US" w:eastAsia="zh-CN"/>
        </w:rPr>
        <w:t>实现年接待国内外游客达到1400</w:t>
      </w:r>
      <w:r>
        <w:rPr>
          <w:rFonts w:hint="eastAsia"/>
          <w:lang w:eastAsia="zh-CN"/>
        </w:rPr>
        <w:t>万人次，年均增长</w:t>
      </w:r>
      <w:r>
        <w:rPr>
          <w:rFonts w:hint="eastAsia"/>
          <w:lang w:val="en-US" w:eastAsia="zh-CN"/>
        </w:rPr>
        <w:t>7.5</w:t>
      </w:r>
      <w:r>
        <w:rPr>
          <w:rFonts w:hint="eastAsia"/>
          <w:lang w:eastAsia="zh-CN"/>
        </w:rPr>
        <w:t>%左右；</w:t>
      </w:r>
      <w:r>
        <w:rPr>
          <w:rFonts w:hint="eastAsia"/>
          <w:lang w:val="en-US" w:eastAsia="zh-CN"/>
        </w:rPr>
        <w:t>年</w:t>
      </w:r>
      <w:r>
        <w:rPr>
          <w:rFonts w:hint="eastAsia"/>
          <w:lang w:eastAsia="zh-CN"/>
        </w:rPr>
        <w:t>游客总花费达到1</w:t>
      </w:r>
      <w:r>
        <w:rPr>
          <w:rFonts w:hint="eastAsia"/>
          <w:lang w:val="en-US" w:eastAsia="zh-CN"/>
        </w:rPr>
        <w:t>65</w:t>
      </w:r>
      <w:r>
        <w:rPr>
          <w:rFonts w:hint="eastAsia"/>
          <w:lang w:eastAsia="zh-CN"/>
        </w:rPr>
        <w:t>亿元，年均增长</w:t>
      </w:r>
      <w:r>
        <w:rPr>
          <w:rFonts w:hint="eastAsia"/>
          <w:lang w:val="en-US" w:eastAsia="zh-CN"/>
        </w:rPr>
        <w:t>12</w:t>
      </w:r>
      <w:r>
        <w:rPr>
          <w:rFonts w:hint="eastAsia"/>
          <w:lang w:eastAsia="zh-CN"/>
        </w:rPr>
        <w:t>%左右；</w:t>
      </w:r>
      <w:r>
        <w:rPr>
          <w:rFonts w:hint="eastAsia"/>
          <w:lang w:val="en-US" w:eastAsia="zh-CN"/>
        </w:rPr>
        <w:t>年接待入境游客达到</w:t>
      </w:r>
      <w:r>
        <w:rPr>
          <w:rFonts w:hint="eastAsia"/>
          <w:highlight w:val="none"/>
          <w:lang w:val="en-US" w:eastAsia="zh-CN"/>
        </w:rPr>
        <w:t>3.6万人次</w:t>
      </w:r>
      <w:r>
        <w:rPr>
          <w:rFonts w:hint="eastAsia"/>
          <w:lang w:eastAsia="zh-CN"/>
        </w:rPr>
        <w:t>。</w:t>
      </w:r>
      <w:r>
        <w:rPr>
          <w:rFonts w:hint="eastAsia"/>
        </w:rPr>
        <w:t>推动</w:t>
      </w:r>
      <w:r>
        <w:rPr>
          <w:rFonts w:hint="eastAsia"/>
          <w:lang w:val="en-US" w:eastAsia="zh-CN"/>
        </w:rPr>
        <w:t>万宁</w:t>
      </w:r>
      <w:r>
        <w:rPr>
          <w:rFonts w:hint="eastAsia"/>
        </w:rPr>
        <w:t>旅游空间发展更均衡、产品业态更丰富、旅游服务更优质、综合效益日益增强，全</w:t>
      </w:r>
      <w:r>
        <w:rPr>
          <w:rFonts w:hint="eastAsia"/>
          <w:lang w:val="en-US" w:eastAsia="zh-CN"/>
        </w:rPr>
        <w:t>市</w:t>
      </w:r>
      <w:r>
        <w:rPr>
          <w:rFonts w:hint="eastAsia"/>
        </w:rPr>
        <w:t>旅游业支柱产业、民生产业、幸福产业功能得到切实发挥，促进文化事业产业提质增效、体育综合实力跃升</w:t>
      </w:r>
      <w:r>
        <w:rPr>
          <w:rFonts w:hint="eastAsia"/>
          <w:lang w:eastAsia="zh-CN"/>
        </w:rPr>
        <w:t>，</w:t>
      </w:r>
      <w:r>
        <w:rPr>
          <w:rFonts w:hint="eastAsia"/>
        </w:rPr>
        <w:t>旅文体深度融合的高质量发展取得明显成效</w:t>
      </w:r>
      <w:r>
        <w:rPr>
          <w:rFonts w:hint="eastAsia"/>
          <w:lang w:eastAsia="zh-CN"/>
        </w:rPr>
        <w:t>。</w:t>
      </w:r>
    </w:p>
    <w:p w14:paraId="0B562B23">
      <w:pPr>
        <w:pStyle w:val="4"/>
        <w:shd w:val="clear"/>
        <w:ind w:firstLine="479"/>
        <w:rPr>
          <w:rFonts w:hint="default"/>
          <w:color w:val="auto"/>
          <w:highlight w:val="none"/>
          <w:lang w:val="en-US" w:eastAsia="zh-CN"/>
        </w:rPr>
      </w:pPr>
      <w:r>
        <w:rPr>
          <w:rFonts w:hint="eastAsia"/>
          <w:color w:val="auto"/>
          <w:highlight w:val="none"/>
          <w:lang w:val="en-US" w:eastAsia="zh-CN"/>
        </w:rPr>
        <w:t>（二）主要指标</w:t>
      </w:r>
    </w:p>
    <w:p w14:paraId="34168987">
      <w:pPr>
        <w:shd w:val="clear"/>
        <w:spacing w:after="156" w:afterLines="50"/>
        <w:ind w:firstLine="840" w:firstLineChars="300"/>
        <w:rPr>
          <w:rFonts w:cs="Times New Roman"/>
          <w:color w:val="auto"/>
          <w:highlight w:val="none"/>
        </w:rPr>
      </w:pPr>
      <w:r>
        <w:rPr>
          <w:rFonts w:hint="eastAsia" w:ascii="黑体" w:hAnsi="黑体" w:eastAsia="黑体" w:cs="黑体"/>
          <w:bCs/>
          <w:color w:val="auto"/>
          <w:sz w:val="28"/>
          <w:szCs w:val="28"/>
          <w:highlight w:val="none"/>
        </w:rPr>
        <w:t>表</w:t>
      </w:r>
      <w:r>
        <w:rPr>
          <w:rFonts w:hint="eastAsia" w:ascii="黑体" w:hAnsi="黑体" w:eastAsia="黑体" w:cs="黑体"/>
          <w:bCs/>
          <w:color w:val="auto"/>
          <w:sz w:val="28"/>
          <w:szCs w:val="28"/>
          <w:highlight w:val="none"/>
          <w:lang w:val="en-US" w:eastAsia="zh-CN"/>
        </w:rPr>
        <w:t>2</w:t>
      </w:r>
      <w:r>
        <w:rPr>
          <w:rFonts w:hint="eastAsia" w:ascii="黑体" w:hAnsi="黑体" w:eastAsia="黑体" w:cs="黑体"/>
          <w:bCs/>
          <w:color w:val="auto"/>
          <w:sz w:val="28"/>
          <w:szCs w:val="28"/>
          <w:highlight w:val="none"/>
        </w:rPr>
        <w:t xml:space="preserve"> </w:t>
      </w:r>
      <w:r>
        <w:rPr>
          <w:rFonts w:hint="eastAsia" w:ascii="黑体" w:hAnsi="黑体" w:eastAsia="黑体" w:cs="黑体"/>
          <w:bCs/>
          <w:color w:val="auto"/>
          <w:sz w:val="28"/>
          <w:szCs w:val="28"/>
          <w:highlight w:val="none"/>
          <w:lang w:val="en-US" w:eastAsia="zh-CN"/>
        </w:rPr>
        <w:t>万宁</w:t>
      </w:r>
      <w:r>
        <w:rPr>
          <w:rFonts w:hint="eastAsia" w:ascii="黑体" w:hAnsi="黑体" w:eastAsia="黑体" w:cs="黑体"/>
          <w:bCs/>
          <w:color w:val="auto"/>
          <w:sz w:val="28"/>
          <w:szCs w:val="28"/>
          <w:highlight w:val="none"/>
        </w:rPr>
        <w:t>市“十五五”旅游文化体育发展定量指标体系</w:t>
      </w:r>
    </w:p>
    <w:tbl>
      <w:tblPr>
        <w:tblStyle w:val="20"/>
        <w:tblW w:w="85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2797"/>
        <w:gridCol w:w="1000"/>
        <w:gridCol w:w="938"/>
        <w:gridCol w:w="925"/>
        <w:gridCol w:w="2160"/>
      </w:tblGrid>
      <w:tr w14:paraId="53530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91" w:type="dxa"/>
            <w:noWrap w:val="0"/>
            <w:vAlign w:val="center"/>
          </w:tcPr>
          <w:p w14:paraId="5124BEBC">
            <w:pPr>
              <w:pStyle w:val="19"/>
              <w:widowControl/>
              <w:spacing w:before="92" w:line="228" w:lineRule="auto"/>
              <w:ind w:left="136" w:firstLine="0" w:firstLineChars="0"/>
              <w:jc w:val="both"/>
              <w:rPr>
                <w:rFonts w:hint="eastAsia" w:ascii="仿宋_GB2312" w:hAnsi="仿宋_GB2312" w:eastAsia="仿宋_GB2312" w:cs="仿宋_GB2312"/>
                <w:sz w:val="20"/>
                <w:szCs w:val="20"/>
              </w:rPr>
            </w:pPr>
            <w:r>
              <w:rPr>
                <w:rFonts w:hint="eastAsia" w:ascii="仿宋_GB2312" w:hAnsi="仿宋_GB2312" w:eastAsia="仿宋_GB2312" w:cs="仿宋_GB2312"/>
                <w:b/>
                <w:bCs/>
                <w:spacing w:val="2"/>
                <w:sz w:val="20"/>
                <w:szCs w:val="20"/>
              </w:rPr>
              <w:t>指标</w:t>
            </w:r>
          </w:p>
          <w:p w14:paraId="037360E5">
            <w:pPr>
              <w:pStyle w:val="19"/>
              <w:widowControl/>
              <w:spacing w:before="64" w:line="228" w:lineRule="auto"/>
              <w:ind w:left="133" w:firstLine="0" w:firstLineChars="0"/>
              <w:jc w:val="both"/>
              <w:rPr>
                <w:rFonts w:hint="eastAsia" w:ascii="仿宋_GB2312" w:hAnsi="仿宋_GB2312" w:eastAsia="仿宋_GB2312" w:cs="仿宋_GB2312"/>
                <w:sz w:val="20"/>
                <w:szCs w:val="20"/>
              </w:rPr>
            </w:pPr>
            <w:r>
              <w:rPr>
                <w:rFonts w:hint="eastAsia" w:ascii="仿宋_GB2312" w:hAnsi="仿宋_GB2312" w:eastAsia="仿宋_GB2312" w:cs="仿宋_GB2312"/>
                <w:b/>
                <w:bCs/>
                <w:spacing w:val="3"/>
                <w:sz w:val="20"/>
                <w:szCs w:val="20"/>
              </w:rPr>
              <w:t>类型</w:t>
            </w:r>
          </w:p>
        </w:tc>
        <w:tc>
          <w:tcPr>
            <w:tcW w:w="2797" w:type="dxa"/>
            <w:noWrap w:val="0"/>
            <w:vAlign w:val="center"/>
          </w:tcPr>
          <w:p w14:paraId="1DF606D5">
            <w:pPr>
              <w:pStyle w:val="19"/>
              <w:widowControl/>
              <w:spacing w:before="248" w:line="228" w:lineRule="auto"/>
              <w:ind w:left="0" w:firstLine="0" w:firstLineChars="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b/>
                <w:bCs/>
                <w:spacing w:val="2"/>
                <w:sz w:val="20"/>
                <w:szCs w:val="20"/>
              </w:rPr>
              <w:t>指标</w:t>
            </w:r>
            <w:r>
              <w:rPr>
                <w:rFonts w:hint="eastAsia" w:ascii="仿宋_GB2312" w:hAnsi="仿宋_GB2312" w:eastAsia="仿宋_GB2312" w:cs="仿宋_GB2312"/>
                <w:b/>
                <w:bCs/>
                <w:spacing w:val="2"/>
                <w:sz w:val="20"/>
                <w:szCs w:val="20"/>
                <w:lang w:val="en-US" w:eastAsia="zh-CN"/>
              </w:rPr>
              <w:t>名称</w:t>
            </w:r>
          </w:p>
        </w:tc>
        <w:tc>
          <w:tcPr>
            <w:tcW w:w="1000" w:type="dxa"/>
            <w:noWrap w:val="0"/>
            <w:vAlign w:val="center"/>
          </w:tcPr>
          <w:p w14:paraId="23C3EDD2">
            <w:pPr>
              <w:pStyle w:val="19"/>
              <w:widowControl/>
              <w:spacing w:before="92" w:line="228"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b/>
                <w:bCs/>
                <w:spacing w:val="5"/>
                <w:sz w:val="20"/>
                <w:szCs w:val="20"/>
              </w:rPr>
              <w:t>基数值</w:t>
            </w:r>
          </w:p>
          <w:p w14:paraId="6433264B">
            <w:pPr>
              <w:pStyle w:val="19"/>
              <w:widowControl/>
              <w:spacing w:before="64" w:line="228" w:lineRule="auto"/>
              <w:ind w:right="12"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b/>
                <w:bCs/>
                <w:spacing w:val="-1"/>
                <w:sz w:val="20"/>
                <w:szCs w:val="20"/>
              </w:rPr>
              <w:t>（202</w:t>
            </w:r>
            <w:r>
              <w:rPr>
                <w:rFonts w:hint="eastAsia" w:ascii="仿宋_GB2312" w:hAnsi="仿宋_GB2312" w:eastAsia="仿宋_GB2312" w:cs="仿宋_GB2312"/>
                <w:b/>
                <w:bCs/>
                <w:spacing w:val="-1"/>
                <w:sz w:val="20"/>
                <w:szCs w:val="20"/>
                <w:lang w:val="en-US" w:eastAsia="zh-CN"/>
              </w:rPr>
              <w:t>5</w:t>
            </w:r>
            <w:r>
              <w:rPr>
                <w:rFonts w:hint="eastAsia" w:ascii="仿宋_GB2312" w:hAnsi="仿宋_GB2312" w:eastAsia="仿宋_GB2312" w:cs="仿宋_GB2312"/>
                <w:b/>
                <w:bCs/>
                <w:spacing w:val="-1"/>
                <w:sz w:val="20"/>
                <w:szCs w:val="20"/>
              </w:rPr>
              <w:t>年）</w:t>
            </w:r>
          </w:p>
        </w:tc>
        <w:tc>
          <w:tcPr>
            <w:tcW w:w="938" w:type="dxa"/>
            <w:noWrap w:val="0"/>
            <w:vAlign w:val="center"/>
          </w:tcPr>
          <w:p w14:paraId="0E60E552">
            <w:pPr>
              <w:pStyle w:val="19"/>
              <w:widowControl/>
              <w:spacing w:before="92" w:line="228" w:lineRule="auto"/>
              <w:jc w:val="center"/>
              <w:rPr>
                <w:rFonts w:hint="eastAsia" w:ascii="仿宋_GB2312" w:hAnsi="仿宋_GB2312" w:eastAsia="仿宋_GB2312" w:cs="仿宋_GB2312"/>
                <w:b/>
                <w:bCs/>
                <w:spacing w:val="-8"/>
                <w:sz w:val="20"/>
                <w:szCs w:val="20"/>
              </w:rPr>
            </w:pPr>
            <w:r>
              <w:rPr>
                <w:rFonts w:hint="eastAsia" w:ascii="仿宋_GB2312" w:hAnsi="仿宋_GB2312" w:eastAsia="仿宋_GB2312" w:cs="仿宋_GB2312"/>
                <w:b/>
                <w:bCs/>
                <w:spacing w:val="-8"/>
                <w:sz w:val="20"/>
                <w:szCs w:val="20"/>
              </w:rPr>
              <w:t>目标值</w:t>
            </w:r>
          </w:p>
          <w:p w14:paraId="78FD5AC0">
            <w:pPr>
              <w:pStyle w:val="19"/>
              <w:widowControl/>
              <w:spacing w:before="92" w:line="228" w:lineRule="auto"/>
              <w:ind w:left="0"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b/>
                <w:bCs/>
                <w:spacing w:val="-1"/>
                <w:sz w:val="20"/>
                <w:szCs w:val="20"/>
              </w:rPr>
              <w:t>（2030年）</w:t>
            </w:r>
          </w:p>
        </w:tc>
        <w:tc>
          <w:tcPr>
            <w:tcW w:w="925" w:type="dxa"/>
            <w:noWrap w:val="0"/>
            <w:vAlign w:val="center"/>
          </w:tcPr>
          <w:p w14:paraId="74AC4C9D">
            <w:pPr>
              <w:pStyle w:val="19"/>
              <w:widowControl/>
              <w:spacing w:before="248" w:line="229" w:lineRule="auto"/>
              <w:ind w:left="0" w:firstLine="0" w:firstLineChars="0"/>
              <w:jc w:val="center"/>
              <w:rPr>
                <w:rFonts w:hint="default" w:ascii="仿宋_GB2312" w:hAnsi="仿宋_GB2312" w:eastAsia="仿宋_GB2312" w:cs="仿宋_GB2312"/>
                <w:b/>
                <w:bCs/>
                <w:spacing w:val="2"/>
                <w:sz w:val="20"/>
                <w:szCs w:val="20"/>
                <w:lang w:val="en-US" w:eastAsia="zh-CN"/>
              </w:rPr>
            </w:pPr>
            <w:r>
              <w:rPr>
                <w:rFonts w:hint="eastAsia" w:ascii="仿宋_GB2312" w:hAnsi="仿宋_GB2312" w:eastAsia="仿宋_GB2312" w:cs="仿宋_GB2312"/>
                <w:b/>
                <w:bCs/>
                <w:spacing w:val="2"/>
                <w:sz w:val="20"/>
                <w:szCs w:val="20"/>
                <w:lang w:val="en-US" w:eastAsia="zh-CN"/>
              </w:rPr>
              <w:t>指标属性</w:t>
            </w:r>
          </w:p>
        </w:tc>
        <w:tc>
          <w:tcPr>
            <w:tcW w:w="2160" w:type="dxa"/>
            <w:noWrap w:val="0"/>
            <w:vAlign w:val="center"/>
          </w:tcPr>
          <w:p w14:paraId="0826CD92">
            <w:pPr>
              <w:pStyle w:val="19"/>
              <w:widowControl/>
              <w:spacing w:before="248" w:line="229" w:lineRule="auto"/>
              <w:ind w:left="0"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b/>
                <w:bCs/>
                <w:spacing w:val="2"/>
                <w:sz w:val="20"/>
                <w:szCs w:val="20"/>
              </w:rPr>
              <w:t>备注</w:t>
            </w:r>
          </w:p>
        </w:tc>
      </w:tr>
      <w:tr w14:paraId="43D3F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91" w:type="dxa"/>
            <w:vMerge w:val="restart"/>
            <w:tcBorders>
              <w:bottom w:val="nil"/>
            </w:tcBorders>
            <w:noWrap w:val="0"/>
            <w:vAlign w:val="center"/>
          </w:tcPr>
          <w:p w14:paraId="00A08EE3">
            <w:pPr>
              <w:pStyle w:val="19"/>
              <w:widowControl/>
              <w:spacing w:before="65" w:line="228" w:lineRule="auto"/>
              <w:ind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b/>
                <w:bCs/>
                <w:spacing w:val="4"/>
                <w:sz w:val="20"/>
                <w:szCs w:val="20"/>
              </w:rPr>
              <w:t>旅游</w:t>
            </w:r>
          </w:p>
        </w:tc>
        <w:tc>
          <w:tcPr>
            <w:tcW w:w="2797" w:type="dxa"/>
            <w:noWrap w:val="0"/>
            <w:vAlign w:val="center"/>
          </w:tcPr>
          <w:p w14:paraId="0856DC87">
            <w:pPr>
              <w:pStyle w:val="19"/>
              <w:widowControl/>
              <w:spacing w:before="70" w:line="219" w:lineRule="auto"/>
              <w:ind w:left="143"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1"/>
                <w:sz w:val="20"/>
                <w:szCs w:val="20"/>
              </w:rPr>
              <w:t>接待</w:t>
            </w:r>
            <w:r>
              <w:rPr>
                <w:rFonts w:hint="eastAsia" w:ascii="仿宋_GB2312" w:hAnsi="仿宋_GB2312" w:eastAsia="仿宋_GB2312" w:cs="仿宋_GB2312"/>
                <w:spacing w:val="-1"/>
              </w:rPr>
              <w:t>国内外游客</w:t>
            </w:r>
            <w:r>
              <w:rPr>
                <w:rFonts w:hint="eastAsia" w:ascii="仿宋_GB2312" w:hAnsi="仿宋_GB2312" w:eastAsia="仿宋_GB2312" w:cs="仿宋_GB2312"/>
                <w:spacing w:val="-1"/>
                <w:sz w:val="20"/>
                <w:szCs w:val="20"/>
              </w:rPr>
              <w:t>（万人次）</w:t>
            </w:r>
          </w:p>
        </w:tc>
        <w:tc>
          <w:tcPr>
            <w:tcW w:w="1000" w:type="dxa"/>
            <w:noWrap w:val="0"/>
            <w:vAlign w:val="center"/>
          </w:tcPr>
          <w:p w14:paraId="5C137660">
            <w:pPr>
              <w:pStyle w:val="19"/>
              <w:widowControl/>
              <w:spacing w:before="69" w:line="239" w:lineRule="auto"/>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pacing w:val="-4"/>
                <w:sz w:val="20"/>
                <w:szCs w:val="20"/>
                <w:lang w:val="en-US" w:eastAsia="zh-CN"/>
              </w:rPr>
              <w:t>978</w:t>
            </w:r>
            <w:r>
              <w:rPr>
                <w:rFonts w:hint="eastAsia" w:ascii="仿宋_GB2312" w:hAnsi="仿宋_GB2312" w:eastAsia="仿宋_GB2312" w:cs="仿宋_GB2312"/>
                <w:spacing w:val="-4"/>
                <w:sz w:val="20"/>
                <w:szCs w:val="20"/>
              </w:rPr>
              <w:t>.</w:t>
            </w:r>
            <w:r>
              <w:rPr>
                <w:rFonts w:hint="eastAsia" w:ascii="仿宋_GB2312" w:hAnsi="仿宋_GB2312" w:eastAsia="仿宋_GB2312" w:cs="仿宋_GB2312"/>
                <w:spacing w:val="-4"/>
                <w:sz w:val="20"/>
                <w:szCs w:val="20"/>
                <w:lang w:val="en-US" w:eastAsia="zh-CN"/>
              </w:rPr>
              <w:t>38</w:t>
            </w:r>
          </w:p>
        </w:tc>
        <w:tc>
          <w:tcPr>
            <w:tcW w:w="938" w:type="dxa"/>
            <w:noWrap w:val="0"/>
            <w:vAlign w:val="center"/>
          </w:tcPr>
          <w:p w14:paraId="285F92F0">
            <w:pPr>
              <w:pStyle w:val="19"/>
              <w:widowControl/>
              <w:spacing w:before="69"/>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pacing w:val="-4"/>
                <w:sz w:val="20"/>
                <w:szCs w:val="20"/>
                <w:lang w:val="en-US" w:eastAsia="zh-CN"/>
              </w:rPr>
              <w:t>1400</w:t>
            </w:r>
          </w:p>
        </w:tc>
        <w:tc>
          <w:tcPr>
            <w:tcW w:w="925" w:type="dxa"/>
            <w:noWrap w:val="0"/>
            <w:vAlign w:val="center"/>
          </w:tcPr>
          <w:p w14:paraId="6EF3732D">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lang w:val="en-US" w:eastAsia="zh-CN"/>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04303BB3">
            <w:pPr>
              <w:pStyle w:val="19"/>
              <w:widowControl/>
              <w:spacing w:before="70" w:line="219" w:lineRule="auto"/>
              <w:ind w:left="0" w:firstLine="0" w:firstLineChars="0"/>
              <w:jc w:val="lef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pacing w:val="-1"/>
                <w:sz w:val="20"/>
                <w:szCs w:val="20"/>
                <w:lang w:val="en-US" w:eastAsia="en-US"/>
              </w:rPr>
              <w:t>年均增长率</w:t>
            </w:r>
            <w:r>
              <w:rPr>
                <w:rFonts w:hint="eastAsia" w:ascii="仿宋_GB2312" w:hAnsi="仿宋_GB2312" w:eastAsia="仿宋_GB2312" w:cs="仿宋_GB2312"/>
                <w:spacing w:val="-1"/>
                <w:sz w:val="20"/>
                <w:szCs w:val="20"/>
                <w:lang w:val="en-US" w:eastAsia="zh-CN"/>
              </w:rPr>
              <w:t>7.5</w:t>
            </w:r>
            <w:r>
              <w:rPr>
                <w:rFonts w:hint="eastAsia" w:ascii="仿宋_GB2312" w:hAnsi="仿宋_GB2312" w:eastAsia="仿宋_GB2312" w:cs="仿宋_GB2312"/>
                <w:spacing w:val="-1"/>
                <w:sz w:val="20"/>
                <w:szCs w:val="20"/>
                <w:lang w:val="en-US" w:eastAsia="en-US"/>
              </w:rPr>
              <w:t>%左右</w:t>
            </w:r>
            <w:r>
              <w:rPr>
                <w:rFonts w:hint="eastAsia" w:ascii="仿宋_GB2312" w:hAnsi="仿宋_GB2312" w:eastAsia="仿宋_GB2312" w:cs="仿宋_GB2312"/>
                <w:spacing w:val="-1"/>
                <w:sz w:val="20"/>
                <w:szCs w:val="20"/>
                <w:lang w:val="en-US" w:eastAsia="zh-CN"/>
              </w:rPr>
              <w:t>，目标值占省级比重为9.1%。</w:t>
            </w:r>
          </w:p>
        </w:tc>
      </w:tr>
      <w:tr w14:paraId="7AA31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91" w:type="dxa"/>
            <w:vMerge w:val="continue"/>
            <w:tcBorders>
              <w:top w:val="nil"/>
              <w:bottom w:val="nil"/>
            </w:tcBorders>
            <w:noWrap w:val="0"/>
            <w:vAlign w:val="center"/>
          </w:tcPr>
          <w:p w14:paraId="72D3613D">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noWrap w:val="0"/>
            <w:vAlign w:val="center"/>
          </w:tcPr>
          <w:p w14:paraId="08C46884">
            <w:pPr>
              <w:pStyle w:val="19"/>
              <w:widowControl/>
              <w:spacing w:before="70" w:line="220" w:lineRule="auto"/>
              <w:ind w:left="415"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1"/>
                <w:sz w:val="20"/>
                <w:szCs w:val="20"/>
              </w:rPr>
              <w:t>游客总花费（亿元）</w:t>
            </w:r>
          </w:p>
        </w:tc>
        <w:tc>
          <w:tcPr>
            <w:tcW w:w="1000" w:type="dxa"/>
            <w:noWrap w:val="0"/>
            <w:vAlign w:val="center"/>
          </w:tcPr>
          <w:p w14:paraId="6B1370A1">
            <w:pPr>
              <w:pStyle w:val="19"/>
              <w:widowControl/>
              <w:spacing w:before="70" w:line="239" w:lineRule="auto"/>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pacing w:val="-4"/>
                <w:sz w:val="20"/>
                <w:szCs w:val="20"/>
                <w:lang w:val="en-US" w:eastAsia="zh-CN"/>
              </w:rPr>
              <w:t>92.27</w:t>
            </w:r>
          </w:p>
        </w:tc>
        <w:tc>
          <w:tcPr>
            <w:tcW w:w="938" w:type="dxa"/>
            <w:noWrap w:val="0"/>
            <w:vAlign w:val="center"/>
          </w:tcPr>
          <w:p w14:paraId="6B547A60">
            <w:pPr>
              <w:pStyle w:val="19"/>
              <w:widowControl/>
              <w:spacing w:before="69"/>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pacing w:val="-4"/>
                <w:sz w:val="20"/>
                <w:szCs w:val="20"/>
                <w:lang w:val="en-US" w:eastAsia="zh-CN"/>
              </w:rPr>
              <w:t>165</w:t>
            </w:r>
          </w:p>
        </w:tc>
        <w:tc>
          <w:tcPr>
            <w:tcW w:w="925" w:type="dxa"/>
            <w:noWrap w:val="0"/>
            <w:vAlign w:val="center"/>
          </w:tcPr>
          <w:p w14:paraId="57E5ABEB">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55A73C4F">
            <w:pPr>
              <w:pStyle w:val="19"/>
              <w:widowControl/>
              <w:spacing w:before="70" w:line="219" w:lineRule="auto"/>
              <w:ind w:left="0" w:firstLine="0" w:firstLineChars="0"/>
              <w:jc w:val="lef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pacing w:val="-1"/>
                <w:sz w:val="20"/>
                <w:szCs w:val="20"/>
              </w:rPr>
              <w:t>年均增长率1</w:t>
            </w:r>
            <w:r>
              <w:rPr>
                <w:rFonts w:hint="eastAsia" w:ascii="仿宋_GB2312" w:hAnsi="仿宋_GB2312" w:eastAsia="仿宋_GB2312" w:cs="仿宋_GB2312"/>
                <w:spacing w:val="-1"/>
                <w:sz w:val="20"/>
                <w:szCs w:val="20"/>
                <w:lang w:val="en-US" w:eastAsia="zh-CN"/>
              </w:rPr>
              <w:t>2</w:t>
            </w:r>
            <w:r>
              <w:rPr>
                <w:rFonts w:hint="eastAsia" w:ascii="仿宋_GB2312" w:hAnsi="仿宋_GB2312" w:eastAsia="仿宋_GB2312" w:cs="仿宋_GB2312"/>
                <w:spacing w:val="-1"/>
                <w:sz w:val="20"/>
                <w:szCs w:val="20"/>
              </w:rPr>
              <w:t>%左右</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lang w:val="en-US" w:eastAsia="zh-CN"/>
              </w:rPr>
              <w:t>目标值占省级比重为4.5%。</w:t>
            </w:r>
          </w:p>
        </w:tc>
      </w:tr>
      <w:tr w14:paraId="7241C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91" w:type="dxa"/>
            <w:vMerge w:val="continue"/>
            <w:tcBorders>
              <w:top w:val="nil"/>
              <w:bottom w:val="nil"/>
            </w:tcBorders>
            <w:noWrap w:val="0"/>
            <w:vAlign w:val="center"/>
          </w:tcPr>
          <w:p w14:paraId="088BEE1C">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noWrap w:val="0"/>
            <w:vAlign w:val="center"/>
          </w:tcPr>
          <w:p w14:paraId="15B81A22">
            <w:pPr>
              <w:pStyle w:val="19"/>
              <w:widowControl/>
              <w:spacing w:before="70" w:line="220" w:lineRule="auto"/>
              <w:ind w:left="415"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接待入境游客（人次）</w:t>
            </w:r>
          </w:p>
        </w:tc>
        <w:tc>
          <w:tcPr>
            <w:tcW w:w="1000" w:type="dxa"/>
            <w:noWrap w:val="0"/>
            <w:vAlign w:val="center"/>
          </w:tcPr>
          <w:p w14:paraId="72804A35">
            <w:pPr>
              <w:pStyle w:val="19"/>
              <w:widowControl/>
              <w:spacing w:before="70" w:line="239" w:lineRule="auto"/>
              <w:jc w:val="center"/>
              <w:rPr>
                <w:rFonts w:hint="default" w:ascii="仿宋_GB2312" w:hAnsi="仿宋_GB2312" w:eastAsia="仿宋_GB2312" w:cs="仿宋_GB2312"/>
                <w:spacing w:val="-4"/>
                <w:sz w:val="20"/>
                <w:szCs w:val="20"/>
                <w:lang w:val="en-US" w:eastAsia="zh-CN"/>
              </w:rPr>
            </w:pPr>
            <w:r>
              <w:rPr>
                <w:rFonts w:hint="eastAsia" w:ascii="仿宋_GB2312" w:hAnsi="仿宋_GB2312" w:eastAsia="仿宋_GB2312" w:cs="仿宋_GB2312"/>
                <w:spacing w:val="-4"/>
                <w:sz w:val="20"/>
                <w:szCs w:val="20"/>
                <w:lang w:val="en-US" w:eastAsia="zh-CN"/>
              </w:rPr>
              <w:t>15545</w:t>
            </w:r>
          </w:p>
        </w:tc>
        <w:tc>
          <w:tcPr>
            <w:tcW w:w="938" w:type="dxa"/>
            <w:noWrap w:val="0"/>
            <w:vAlign w:val="center"/>
          </w:tcPr>
          <w:p w14:paraId="59F692F3">
            <w:pPr>
              <w:pStyle w:val="19"/>
              <w:widowControl/>
              <w:spacing w:before="69"/>
              <w:jc w:val="center"/>
              <w:rPr>
                <w:rFonts w:hint="default" w:ascii="仿宋_GB2312" w:hAnsi="仿宋_GB2312" w:eastAsia="仿宋_GB2312" w:cs="仿宋_GB2312"/>
                <w:spacing w:val="-4"/>
                <w:sz w:val="20"/>
                <w:szCs w:val="20"/>
                <w:lang w:val="en-US" w:eastAsia="zh-CN"/>
              </w:rPr>
            </w:pPr>
            <w:r>
              <w:rPr>
                <w:rFonts w:hint="eastAsia" w:ascii="仿宋_GB2312" w:hAnsi="仿宋_GB2312" w:eastAsia="仿宋_GB2312" w:cs="仿宋_GB2312"/>
                <w:spacing w:val="-4"/>
                <w:sz w:val="20"/>
                <w:szCs w:val="20"/>
                <w:lang w:val="en-US" w:eastAsia="zh-CN"/>
              </w:rPr>
              <w:t>36000</w:t>
            </w:r>
          </w:p>
        </w:tc>
        <w:tc>
          <w:tcPr>
            <w:tcW w:w="925" w:type="dxa"/>
            <w:noWrap w:val="0"/>
            <w:vAlign w:val="center"/>
          </w:tcPr>
          <w:p w14:paraId="1BACD5D0">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lang w:val="en-US" w:eastAsia="zh-CN"/>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47954AE3">
            <w:pPr>
              <w:pStyle w:val="19"/>
              <w:widowControl/>
              <w:spacing w:before="70" w:line="219" w:lineRule="auto"/>
              <w:ind w:left="0"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按全省</w:t>
            </w:r>
            <w:r>
              <w:rPr>
                <w:rFonts w:hint="eastAsia" w:ascii="仿宋_GB2312" w:hAnsi="仿宋_GB2312" w:eastAsia="仿宋_GB2312" w:cs="仿宋_GB2312"/>
                <w:spacing w:val="-1"/>
                <w:sz w:val="20"/>
                <w:szCs w:val="20"/>
              </w:rPr>
              <w:t>接待入境游客年均增速目标18.5%</w:t>
            </w:r>
            <w:r>
              <w:rPr>
                <w:rFonts w:hint="eastAsia" w:ascii="仿宋_GB2312" w:hAnsi="仿宋_GB2312" w:eastAsia="仿宋_GB2312" w:cs="仿宋_GB2312"/>
                <w:spacing w:val="-1"/>
                <w:sz w:val="20"/>
                <w:szCs w:val="20"/>
                <w:lang w:val="en-US" w:eastAsia="zh-CN"/>
              </w:rPr>
              <w:t>测算</w:t>
            </w:r>
            <w:r>
              <w:rPr>
                <w:rFonts w:hint="eastAsia" w:ascii="仿宋_GB2312" w:hAnsi="仿宋_GB2312" w:eastAsia="仿宋_GB2312" w:cs="仿宋_GB2312"/>
                <w:spacing w:val="-1"/>
                <w:sz w:val="20"/>
                <w:szCs w:val="20"/>
              </w:rPr>
              <w:t>。</w:t>
            </w:r>
          </w:p>
        </w:tc>
      </w:tr>
      <w:tr w14:paraId="06A89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691" w:type="dxa"/>
            <w:vMerge w:val="continue"/>
            <w:tcBorders>
              <w:top w:val="nil"/>
              <w:bottom w:val="nil"/>
            </w:tcBorders>
            <w:noWrap w:val="0"/>
            <w:vAlign w:val="center"/>
          </w:tcPr>
          <w:p w14:paraId="773F5AAC">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noWrap w:val="0"/>
            <w:vAlign w:val="center"/>
          </w:tcPr>
          <w:p w14:paraId="34B98C66">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国家4A级及以上旅游景区</w:t>
            </w:r>
          </w:p>
          <w:p w14:paraId="2EF70370">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（家）</w:t>
            </w:r>
          </w:p>
        </w:tc>
        <w:tc>
          <w:tcPr>
            <w:tcW w:w="1000" w:type="dxa"/>
            <w:noWrap w:val="0"/>
            <w:vAlign w:val="center"/>
          </w:tcPr>
          <w:p w14:paraId="22558CD6">
            <w:pPr>
              <w:pStyle w:val="19"/>
              <w:widowControl/>
              <w:spacing w:before="70" w:line="219" w:lineRule="auto"/>
              <w:ind w:left="0" w:firstLine="0" w:firstLineChars="0"/>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val="en-US" w:eastAsia="zh-CN"/>
              </w:rPr>
              <w:t>1</w:t>
            </w:r>
          </w:p>
        </w:tc>
        <w:tc>
          <w:tcPr>
            <w:tcW w:w="938" w:type="dxa"/>
            <w:noWrap w:val="0"/>
            <w:vAlign w:val="center"/>
          </w:tcPr>
          <w:p w14:paraId="68AF739B">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3</w:t>
            </w:r>
          </w:p>
        </w:tc>
        <w:tc>
          <w:tcPr>
            <w:tcW w:w="925" w:type="dxa"/>
            <w:noWrap w:val="0"/>
            <w:vAlign w:val="center"/>
          </w:tcPr>
          <w:p w14:paraId="65B821D1">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0CC5B4EC">
            <w:pPr>
              <w:pStyle w:val="19"/>
              <w:widowControl/>
              <w:spacing w:before="70" w:line="219" w:lineRule="auto"/>
              <w:ind w:left="0" w:firstLine="0" w:firstLineChars="0"/>
              <w:jc w:val="left"/>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rPr>
              <w:t>培育名单：万宁兴隆热带植物园</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rPr>
              <w:t>东山岭文化旅游区</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rPr>
              <w:t>兴隆咖啡文化园</w:t>
            </w:r>
            <w:r>
              <w:rPr>
                <w:rFonts w:hint="eastAsia" w:ascii="仿宋_GB2312" w:hAnsi="仿宋_GB2312" w:eastAsia="仿宋_GB2312" w:cs="仿宋_GB2312"/>
                <w:spacing w:val="-1"/>
                <w:sz w:val="20"/>
                <w:szCs w:val="20"/>
                <w:lang w:eastAsia="zh-CN"/>
              </w:rPr>
              <w:t>、巴厘村。</w:t>
            </w:r>
          </w:p>
        </w:tc>
      </w:tr>
      <w:tr w14:paraId="30052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691" w:type="dxa"/>
            <w:vMerge w:val="continue"/>
            <w:tcBorders>
              <w:top w:val="nil"/>
              <w:bottom w:val="single" w:color="auto" w:sz="4" w:space="0"/>
            </w:tcBorders>
            <w:noWrap w:val="0"/>
            <w:vAlign w:val="center"/>
          </w:tcPr>
          <w:p w14:paraId="10C60156">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tcBorders>
              <w:bottom w:val="single" w:color="auto" w:sz="4" w:space="0"/>
            </w:tcBorders>
            <w:noWrap w:val="0"/>
            <w:vAlign w:val="center"/>
          </w:tcPr>
          <w:p w14:paraId="4ABA23B9">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省级旅游度假区/</w:t>
            </w:r>
            <w:r>
              <w:rPr>
                <w:rFonts w:hint="eastAsia" w:ascii="仿宋_GB2312" w:hAnsi="仿宋_GB2312" w:eastAsia="仿宋_GB2312" w:cs="仿宋_GB2312"/>
                <w:spacing w:val="-1"/>
                <w:sz w:val="20"/>
                <w:szCs w:val="20"/>
                <w:lang w:val="en-US" w:eastAsia="zh-CN"/>
              </w:rPr>
              <w:t>省级乡村旅游度假区</w:t>
            </w:r>
            <w:r>
              <w:rPr>
                <w:rFonts w:hint="eastAsia" w:ascii="仿宋_GB2312" w:hAnsi="仿宋_GB2312" w:eastAsia="仿宋_GB2312" w:cs="仿宋_GB2312"/>
                <w:spacing w:val="-1"/>
                <w:sz w:val="20"/>
                <w:szCs w:val="20"/>
              </w:rPr>
              <w:t>（家）</w:t>
            </w:r>
          </w:p>
        </w:tc>
        <w:tc>
          <w:tcPr>
            <w:tcW w:w="1000" w:type="dxa"/>
            <w:noWrap w:val="0"/>
            <w:vAlign w:val="center"/>
          </w:tcPr>
          <w:p w14:paraId="0EB9456E">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val="en-US" w:eastAsia="zh-CN"/>
              </w:rPr>
              <w:t>1</w:t>
            </w:r>
          </w:p>
        </w:tc>
        <w:tc>
          <w:tcPr>
            <w:tcW w:w="938" w:type="dxa"/>
            <w:noWrap w:val="0"/>
            <w:vAlign w:val="center"/>
          </w:tcPr>
          <w:p w14:paraId="3397A0FA">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val="en-US" w:eastAsia="zh-CN"/>
              </w:rPr>
              <w:t>3</w:t>
            </w:r>
          </w:p>
        </w:tc>
        <w:tc>
          <w:tcPr>
            <w:tcW w:w="925" w:type="dxa"/>
            <w:noWrap w:val="0"/>
            <w:vAlign w:val="center"/>
          </w:tcPr>
          <w:p w14:paraId="1B5D2838">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138A9DC0">
            <w:pPr>
              <w:pStyle w:val="19"/>
              <w:widowControl/>
              <w:spacing w:before="70" w:line="219" w:lineRule="auto"/>
              <w:ind w:left="0" w:firstLine="0" w:firstLineChars="0"/>
              <w:jc w:val="left"/>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rPr>
              <w:t>培育名单：神州半岛旅游度假区</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lang w:val="en-US" w:eastAsia="zh-CN"/>
              </w:rPr>
              <w:t>日月湾</w:t>
            </w:r>
            <w:r>
              <w:rPr>
                <w:rFonts w:hint="eastAsia" w:ascii="仿宋_GB2312" w:hAnsi="仿宋_GB2312" w:eastAsia="仿宋_GB2312" w:cs="仿宋_GB2312"/>
                <w:spacing w:val="-1"/>
                <w:sz w:val="20"/>
                <w:szCs w:val="20"/>
              </w:rPr>
              <w:t>旅游度假区</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rPr>
              <w:t>海南盖娅康养圣地</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rPr>
              <w:t>兴隆</w:t>
            </w:r>
            <w:r>
              <w:rPr>
                <w:rFonts w:hint="eastAsia" w:ascii="仿宋_GB2312" w:hAnsi="仿宋_GB2312" w:eastAsia="仿宋_GB2312" w:cs="仿宋_GB2312"/>
                <w:spacing w:val="-1"/>
                <w:sz w:val="20"/>
                <w:szCs w:val="20"/>
                <w:lang w:val="en-US" w:eastAsia="zh-CN"/>
              </w:rPr>
              <w:t>旅游</w:t>
            </w:r>
            <w:r>
              <w:rPr>
                <w:rFonts w:hint="eastAsia" w:ascii="仿宋_GB2312" w:hAnsi="仿宋_GB2312" w:eastAsia="仿宋_GB2312" w:cs="仿宋_GB2312"/>
                <w:spacing w:val="-1"/>
                <w:sz w:val="20"/>
                <w:szCs w:val="20"/>
              </w:rPr>
              <w:t>区</w:t>
            </w:r>
            <w:r>
              <w:rPr>
                <w:rFonts w:hint="eastAsia" w:ascii="仿宋_GB2312" w:hAnsi="仿宋_GB2312" w:eastAsia="仿宋_GB2312" w:cs="仿宋_GB2312"/>
                <w:spacing w:val="-1"/>
                <w:sz w:val="20"/>
                <w:szCs w:val="20"/>
                <w:lang w:eastAsia="zh-CN"/>
              </w:rPr>
              <w:t>。</w:t>
            </w:r>
          </w:p>
        </w:tc>
      </w:tr>
      <w:tr w14:paraId="3C083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14:paraId="3ADC5A11">
            <w:pPr>
              <w:pStyle w:val="19"/>
              <w:widowControl/>
              <w:spacing w:before="65" w:line="229" w:lineRule="auto"/>
              <w:ind w:firstLine="0" w:firstLineChars="0"/>
              <w:jc w:val="center"/>
              <w:rPr>
                <w:rFonts w:hint="eastAsia" w:ascii="仿宋_GB2312" w:hAnsi="仿宋_GB2312" w:eastAsia="仿宋_GB2312" w:cs="仿宋_GB2312"/>
                <w:sz w:val="20"/>
                <w:szCs w:val="20"/>
              </w:rPr>
            </w:pPr>
            <w:r>
              <w:rPr>
                <w:rFonts w:hint="eastAsia" w:ascii="仿宋_GB2312" w:hAnsi="仿宋_GB2312" w:eastAsia="仿宋_GB2312" w:cs="仿宋_GB2312"/>
                <w:b/>
                <w:bCs/>
                <w:spacing w:val="3"/>
                <w:sz w:val="20"/>
                <w:szCs w:val="20"/>
              </w:rPr>
              <w:t>文化</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71A0B01D">
            <w:pPr>
              <w:pStyle w:val="19"/>
              <w:widowControl/>
              <w:spacing w:before="70" w:line="219" w:lineRule="auto"/>
              <w:ind w:left="143" w:right="0" w:firstLine="0" w:firstLineChars="0"/>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rPr>
              <w:t>国家级、省级、县级非遗代表性传承人数量</w:t>
            </w:r>
            <w:r>
              <w:rPr>
                <w:rFonts w:hint="eastAsia" w:ascii="仿宋_GB2312" w:hAnsi="仿宋_GB2312" w:eastAsia="仿宋_GB2312" w:cs="仿宋_GB2312"/>
                <w:spacing w:val="-1"/>
                <w:sz w:val="20"/>
                <w:szCs w:val="20"/>
                <w:lang w:eastAsia="zh-CN"/>
              </w:rPr>
              <w:t>（</w:t>
            </w:r>
            <w:r>
              <w:rPr>
                <w:rFonts w:hint="eastAsia" w:ascii="仿宋_GB2312" w:hAnsi="仿宋_GB2312" w:eastAsia="仿宋_GB2312" w:cs="仿宋_GB2312"/>
                <w:spacing w:val="-1"/>
                <w:sz w:val="20"/>
                <w:szCs w:val="20"/>
                <w:lang w:val="en-US" w:eastAsia="zh-CN"/>
              </w:rPr>
              <w:t>人</w:t>
            </w:r>
            <w:r>
              <w:rPr>
                <w:rFonts w:hint="eastAsia" w:ascii="仿宋_GB2312" w:hAnsi="仿宋_GB2312" w:eastAsia="仿宋_GB2312" w:cs="仿宋_GB2312"/>
                <w:spacing w:val="-1"/>
                <w:sz w:val="20"/>
                <w:szCs w:val="20"/>
                <w:lang w:eastAsia="zh-CN"/>
              </w:rPr>
              <w:t>）</w:t>
            </w:r>
          </w:p>
        </w:tc>
        <w:tc>
          <w:tcPr>
            <w:tcW w:w="1000" w:type="dxa"/>
            <w:tcBorders>
              <w:left w:val="single" w:color="auto" w:sz="4" w:space="0"/>
            </w:tcBorders>
            <w:noWrap w:val="0"/>
            <w:vAlign w:val="center"/>
          </w:tcPr>
          <w:p w14:paraId="6D0ECFC7">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38" w:type="dxa"/>
            <w:noWrap w:val="0"/>
            <w:vAlign w:val="center"/>
          </w:tcPr>
          <w:p w14:paraId="4EC07A24">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25" w:type="dxa"/>
            <w:noWrap w:val="0"/>
            <w:vAlign w:val="center"/>
          </w:tcPr>
          <w:p w14:paraId="4257D24F">
            <w:pPr>
              <w:pStyle w:val="19"/>
              <w:widowControl/>
              <w:spacing w:before="70" w:line="219" w:lineRule="auto"/>
              <w:ind w:left="143" w:firstLine="0" w:firstLineChars="0"/>
              <w:jc w:val="both"/>
              <w:rPr>
                <w:rFonts w:hint="eastAsia" w:ascii="仿宋_GB2312" w:hAnsi="仿宋_GB2312" w:eastAsia="仿宋_GB2312" w:cs="仿宋_GB2312"/>
                <w:spacing w:val="-1"/>
                <w:position w:val="0"/>
                <w:sz w:val="20"/>
                <w:szCs w:val="20"/>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0686855C">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position w:val="0"/>
                <w:sz w:val="20"/>
                <w:szCs w:val="20"/>
              </w:rPr>
              <w:t>——</w:t>
            </w:r>
          </w:p>
        </w:tc>
      </w:tr>
      <w:tr w14:paraId="007E9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84C2322">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tcBorders>
              <w:top w:val="single" w:color="auto" w:sz="4" w:space="0"/>
              <w:left w:val="single" w:color="auto" w:sz="4" w:space="0"/>
              <w:bottom w:val="single" w:color="auto" w:sz="4" w:space="0"/>
              <w:right w:val="single" w:color="auto" w:sz="4" w:space="0"/>
            </w:tcBorders>
            <w:noWrap w:val="0"/>
            <w:vAlign w:val="center"/>
          </w:tcPr>
          <w:p w14:paraId="4E86B367">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公共文化场所（图书馆、文</w:t>
            </w:r>
          </w:p>
          <w:p w14:paraId="34E73CA7">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化馆、博物馆）服务人次（万人次）</w:t>
            </w:r>
          </w:p>
        </w:tc>
        <w:tc>
          <w:tcPr>
            <w:tcW w:w="1000" w:type="dxa"/>
            <w:tcBorders>
              <w:left w:val="single" w:color="auto" w:sz="4" w:space="0"/>
            </w:tcBorders>
            <w:noWrap w:val="0"/>
            <w:vAlign w:val="center"/>
          </w:tcPr>
          <w:p w14:paraId="54B1354B">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38" w:type="dxa"/>
            <w:noWrap w:val="0"/>
            <w:vAlign w:val="center"/>
          </w:tcPr>
          <w:p w14:paraId="1A5A3B50">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25" w:type="dxa"/>
            <w:noWrap w:val="0"/>
            <w:vAlign w:val="center"/>
          </w:tcPr>
          <w:p w14:paraId="2BA25658">
            <w:pPr>
              <w:pStyle w:val="19"/>
              <w:widowControl/>
              <w:spacing w:before="70" w:line="219" w:lineRule="auto"/>
              <w:ind w:left="143" w:firstLine="0" w:firstLineChars="0"/>
              <w:jc w:val="both"/>
              <w:rPr>
                <w:rFonts w:hint="eastAsia" w:ascii="仿宋_GB2312" w:hAnsi="仿宋_GB2312" w:eastAsia="仿宋_GB2312" w:cs="仿宋_GB2312"/>
                <w:spacing w:val="-1"/>
                <w:position w:val="0"/>
                <w:sz w:val="20"/>
                <w:szCs w:val="20"/>
              </w:rPr>
            </w:pPr>
            <w:r>
              <w:rPr>
                <w:rFonts w:hint="eastAsia" w:ascii="仿宋_GB2312" w:hAnsi="仿宋_GB2312" w:eastAsia="仿宋_GB2312" w:cs="仿宋_GB2312"/>
                <w:spacing w:val="-1"/>
                <w:sz w:val="20"/>
                <w:szCs w:val="20"/>
                <w:lang w:val="en-US" w:eastAsia="zh-CN"/>
              </w:rPr>
              <w:t>预期性</w:t>
            </w:r>
          </w:p>
        </w:tc>
        <w:tc>
          <w:tcPr>
            <w:tcW w:w="2160" w:type="dxa"/>
            <w:noWrap w:val="0"/>
            <w:vAlign w:val="center"/>
          </w:tcPr>
          <w:p w14:paraId="25494E2C">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position w:val="0"/>
                <w:sz w:val="20"/>
                <w:szCs w:val="20"/>
              </w:rPr>
              <w:t>——</w:t>
            </w:r>
          </w:p>
        </w:tc>
      </w:tr>
      <w:tr w14:paraId="0AED6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14:paraId="09B161A6">
            <w:pPr>
              <w:pStyle w:val="19"/>
              <w:widowControl/>
              <w:spacing w:before="65" w:line="228" w:lineRule="auto"/>
              <w:ind w:left="133" w:firstLine="0" w:firstLineChars="0"/>
              <w:jc w:val="both"/>
              <w:rPr>
                <w:rFonts w:hint="eastAsia" w:ascii="仿宋_GB2312" w:hAnsi="仿宋_GB2312" w:eastAsia="仿宋_GB2312" w:cs="仿宋_GB2312"/>
                <w:sz w:val="20"/>
                <w:szCs w:val="20"/>
              </w:rPr>
            </w:pPr>
            <w:r>
              <w:rPr>
                <w:rFonts w:hint="eastAsia" w:ascii="仿宋_GB2312" w:hAnsi="仿宋_GB2312" w:eastAsia="仿宋_GB2312" w:cs="仿宋_GB2312"/>
                <w:b/>
                <w:bCs/>
                <w:spacing w:val="3"/>
                <w:sz w:val="20"/>
                <w:szCs w:val="20"/>
              </w:rPr>
              <w:t>体育</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5F8FA25D">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人均体育场地面积（㎡）</w:t>
            </w:r>
          </w:p>
        </w:tc>
        <w:tc>
          <w:tcPr>
            <w:tcW w:w="1000" w:type="dxa"/>
            <w:tcBorders>
              <w:left w:val="single" w:color="auto" w:sz="4" w:space="0"/>
            </w:tcBorders>
            <w:noWrap w:val="0"/>
            <w:vAlign w:val="center"/>
          </w:tcPr>
          <w:p w14:paraId="6CC20814">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38" w:type="dxa"/>
            <w:noWrap w:val="0"/>
            <w:vAlign w:val="center"/>
          </w:tcPr>
          <w:p w14:paraId="3097B24B">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25" w:type="dxa"/>
            <w:noWrap w:val="0"/>
            <w:vAlign w:val="center"/>
          </w:tcPr>
          <w:p w14:paraId="066CED1D">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预期性</w:t>
            </w:r>
          </w:p>
        </w:tc>
        <w:tc>
          <w:tcPr>
            <w:tcW w:w="2160" w:type="dxa"/>
            <w:shd w:val="clear" w:color="auto" w:fill="auto"/>
            <w:noWrap w:val="0"/>
            <w:vAlign w:val="center"/>
          </w:tcPr>
          <w:p w14:paraId="741E0C52">
            <w:pPr>
              <w:pStyle w:val="19"/>
              <w:widowControl/>
              <w:spacing w:before="70" w:line="219" w:lineRule="auto"/>
              <w:ind w:left="143" w:leftChars="0" w:firstLine="0" w:firstLineChars="0"/>
              <w:jc w:val="center"/>
              <w:rPr>
                <w:rFonts w:hint="eastAsia" w:ascii="仿宋_GB2312" w:hAnsi="仿宋_GB2312" w:eastAsia="仿宋_GB2312" w:cs="仿宋_GB2312"/>
                <w:snapToGrid w:val="0"/>
                <w:color w:val="000000"/>
                <w:spacing w:val="-1"/>
                <w:kern w:val="0"/>
                <w:sz w:val="20"/>
                <w:szCs w:val="20"/>
                <w:lang w:val="en-US" w:eastAsia="en-US" w:bidi="ar-SA"/>
              </w:rPr>
            </w:pPr>
            <w:r>
              <w:rPr>
                <w:rFonts w:hint="eastAsia" w:ascii="仿宋_GB2312" w:hAnsi="仿宋_GB2312" w:eastAsia="仿宋_GB2312" w:cs="仿宋_GB2312"/>
                <w:spacing w:val="-1"/>
                <w:position w:val="0"/>
                <w:sz w:val="20"/>
                <w:szCs w:val="20"/>
              </w:rPr>
              <w:t>——</w:t>
            </w:r>
          </w:p>
        </w:tc>
      </w:tr>
      <w:tr w14:paraId="79E0C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1784C819">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tcBorders>
              <w:top w:val="single" w:color="auto" w:sz="4" w:space="0"/>
              <w:left w:val="single" w:color="auto" w:sz="4" w:space="0"/>
              <w:bottom w:val="single" w:color="auto" w:sz="4" w:space="0"/>
              <w:right w:val="single" w:color="auto" w:sz="4" w:space="0"/>
            </w:tcBorders>
            <w:noWrap w:val="0"/>
            <w:vAlign w:val="center"/>
          </w:tcPr>
          <w:p w14:paraId="1A692516">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经常参加体育锻炼人数比（%）</w:t>
            </w:r>
          </w:p>
        </w:tc>
        <w:tc>
          <w:tcPr>
            <w:tcW w:w="1000" w:type="dxa"/>
            <w:tcBorders>
              <w:left w:val="single" w:color="auto" w:sz="4" w:space="0"/>
            </w:tcBorders>
            <w:noWrap w:val="0"/>
            <w:vAlign w:val="center"/>
          </w:tcPr>
          <w:p w14:paraId="1127B6D4">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38" w:type="dxa"/>
            <w:noWrap w:val="0"/>
            <w:vAlign w:val="center"/>
          </w:tcPr>
          <w:p w14:paraId="4119C72E">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25" w:type="dxa"/>
            <w:noWrap w:val="0"/>
            <w:vAlign w:val="center"/>
          </w:tcPr>
          <w:p w14:paraId="1C01B5FB">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预期性</w:t>
            </w:r>
          </w:p>
        </w:tc>
        <w:tc>
          <w:tcPr>
            <w:tcW w:w="2160" w:type="dxa"/>
            <w:shd w:val="clear" w:color="auto" w:fill="auto"/>
            <w:noWrap w:val="0"/>
            <w:vAlign w:val="center"/>
          </w:tcPr>
          <w:p w14:paraId="4B5F9B75">
            <w:pPr>
              <w:pStyle w:val="19"/>
              <w:widowControl/>
              <w:spacing w:before="70" w:line="219" w:lineRule="auto"/>
              <w:ind w:left="143" w:leftChars="0" w:firstLine="0" w:firstLineChars="0"/>
              <w:jc w:val="center"/>
              <w:rPr>
                <w:rFonts w:hint="eastAsia" w:ascii="仿宋_GB2312" w:hAnsi="仿宋_GB2312" w:eastAsia="仿宋_GB2312" w:cs="仿宋_GB2312"/>
                <w:snapToGrid w:val="0"/>
                <w:color w:val="000000"/>
                <w:spacing w:val="-1"/>
                <w:kern w:val="0"/>
                <w:sz w:val="20"/>
                <w:szCs w:val="20"/>
                <w:lang w:val="en-US" w:eastAsia="en-US" w:bidi="ar-SA"/>
              </w:rPr>
            </w:pPr>
            <w:r>
              <w:rPr>
                <w:rFonts w:hint="eastAsia" w:ascii="仿宋_GB2312" w:hAnsi="仿宋_GB2312" w:eastAsia="仿宋_GB2312" w:cs="仿宋_GB2312"/>
                <w:spacing w:val="-1"/>
                <w:position w:val="0"/>
                <w:sz w:val="20"/>
                <w:szCs w:val="20"/>
              </w:rPr>
              <w:t>——</w:t>
            </w:r>
          </w:p>
        </w:tc>
      </w:tr>
      <w:tr w14:paraId="6C155B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D43BB12">
            <w:pPr>
              <w:widowControl/>
              <w:kinsoku w:val="0"/>
              <w:autoSpaceDE w:val="0"/>
              <w:autoSpaceDN w:val="0"/>
              <w:adjustRightInd w:val="0"/>
              <w:snapToGrid w:val="0"/>
              <w:spacing w:line="240" w:lineRule="auto"/>
              <w:ind w:firstLine="0" w:firstLineChars="0"/>
              <w:jc w:val="center"/>
              <w:textAlignment w:val="baseline"/>
              <w:rPr>
                <w:rFonts w:hint="eastAsia" w:ascii="仿宋_GB2312" w:hAnsi="仿宋_GB2312" w:eastAsia="仿宋_GB2312" w:cs="仿宋_GB2312"/>
                <w:snapToGrid w:val="0"/>
                <w:color w:val="000000"/>
                <w:kern w:val="0"/>
                <w:sz w:val="20"/>
                <w:szCs w:val="20"/>
                <w:lang w:eastAsia="en-US"/>
              </w:rPr>
            </w:pPr>
          </w:p>
        </w:tc>
        <w:tc>
          <w:tcPr>
            <w:tcW w:w="2797" w:type="dxa"/>
            <w:tcBorders>
              <w:top w:val="single" w:color="auto" w:sz="4" w:space="0"/>
              <w:left w:val="single" w:color="auto" w:sz="4" w:space="0"/>
              <w:bottom w:val="single" w:color="auto" w:sz="4" w:space="0"/>
              <w:right w:val="single" w:color="auto" w:sz="4" w:space="0"/>
            </w:tcBorders>
            <w:noWrap w:val="0"/>
            <w:vAlign w:val="center"/>
          </w:tcPr>
          <w:p w14:paraId="213F7FFB">
            <w:pPr>
              <w:pStyle w:val="19"/>
              <w:widowControl/>
              <w:spacing w:before="70" w:line="219" w:lineRule="auto"/>
              <w:ind w:left="143" w:firstLine="0" w:firstLineChars="0"/>
              <w:jc w:val="center"/>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rPr>
              <w:t>城乡居民达到《国民体质测定标准》合格以上人数比例（%）</w:t>
            </w:r>
          </w:p>
        </w:tc>
        <w:tc>
          <w:tcPr>
            <w:tcW w:w="1000" w:type="dxa"/>
            <w:tcBorders>
              <w:left w:val="single" w:color="auto" w:sz="4" w:space="0"/>
            </w:tcBorders>
            <w:noWrap w:val="0"/>
            <w:vAlign w:val="center"/>
          </w:tcPr>
          <w:p w14:paraId="09926B9A">
            <w:pPr>
              <w:pStyle w:val="19"/>
              <w:widowControl/>
              <w:spacing w:before="70" w:line="219" w:lineRule="auto"/>
              <w:jc w:val="center"/>
              <w:rPr>
                <w:rFonts w:hint="eastAsia" w:ascii="仿宋_GB2312" w:hAnsi="仿宋_GB2312" w:eastAsia="仿宋_GB2312" w:cs="仿宋_GB2312"/>
                <w:spacing w:val="-1"/>
                <w:sz w:val="20"/>
                <w:szCs w:val="20"/>
                <w:lang w:val="en-US" w:eastAsia="zh-CN"/>
              </w:rPr>
            </w:pPr>
            <w:r>
              <w:rPr>
                <w:rFonts w:hint="eastAsia" w:ascii="仿宋_GB2312" w:hAnsi="仿宋_GB2312" w:eastAsia="仿宋_GB2312" w:cs="仿宋_GB2312"/>
                <w:spacing w:val="-1"/>
                <w:sz w:val="20"/>
                <w:szCs w:val="20"/>
                <w:lang w:val="en-US" w:eastAsia="zh-CN"/>
              </w:rPr>
              <w:t>——</w:t>
            </w:r>
          </w:p>
        </w:tc>
        <w:tc>
          <w:tcPr>
            <w:tcW w:w="938" w:type="dxa"/>
            <w:noWrap w:val="0"/>
            <w:vAlign w:val="center"/>
          </w:tcPr>
          <w:p w14:paraId="61491DA9">
            <w:pPr>
              <w:pStyle w:val="19"/>
              <w:widowControl/>
              <w:spacing w:before="70" w:line="219" w:lineRule="auto"/>
              <w:jc w:val="center"/>
              <w:rPr>
                <w:rFonts w:hint="eastAsia" w:ascii="仿宋_GB2312" w:hAnsi="仿宋_GB2312" w:eastAsia="仿宋_GB2312" w:cs="仿宋_GB2312"/>
                <w:spacing w:val="-1"/>
                <w:sz w:val="20"/>
                <w:szCs w:val="20"/>
                <w:lang w:eastAsia="zh-CN"/>
              </w:rPr>
            </w:pPr>
            <w:r>
              <w:rPr>
                <w:rFonts w:hint="eastAsia" w:ascii="仿宋_GB2312" w:hAnsi="仿宋_GB2312" w:eastAsia="仿宋_GB2312" w:cs="仿宋_GB2312"/>
                <w:spacing w:val="-1"/>
                <w:sz w:val="20"/>
                <w:szCs w:val="20"/>
                <w:lang w:eastAsia="zh-CN"/>
              </w:rPr>
              <w:t>——</w:t>
            </w:r>
          </w:p>
        </w:tc>
        <w:tc>
          <w:tcPr>
            <w:tcW w:w="925" w:type="dxa"/>
            <w:noWrap w:val="0"/>
            <w:vAlign w:val="center"/>
          </w:tcPr>
          <w:p w14:paraId="26828E95">
            <w:pPr>
              <w:pStyle w:val="19"/>
              <w:widowControl/>
              <w:spacing w:before="70" w:line="219" w:lineRule="auto"/>
              <w:ind w:left="143" w:firstLine="0" w:firstLineChars="0"/>
              <w:jc w:val="left"/>
              <w:rPr>
                <w:rFonts w:hint="eastAsia" w:ascii="仿宋_GB2312" w:hAnsi="仿宋_GB2312" w:eastAsia="仿宋_GB2312" w:cs="仿宋_GB2312"/>
                <w:spacing w:val="-1"/>
                <w:sz w:val="20"/>
                <w:szCs w:val="20"/>
              </w:rPr>
            </w:pPr>
            <w:r>
              <w:rPr>
                <w:rFonts w:hint="eastAsia" w:ascii="仿宋_GB2312" w:hAnsi="仿宋_GB2312" w:eastAsia="仿宋_GB2312" w:cs="仿宋_GB2312"/>
                <w:spacing w:val="-1"/>
                <w:sz w:val="20"/>
                <w:szCs w:val="20"/>
                <w:lang w:val="en-US" w:eastAsia="zh-CN"/>
              </w:rPr>
              <w:t>预期性</w:t>
            </w:r>
          </w:p>
        </w:tc>
        <w:tc>
          <w:tcPr>
            <w:tcW w:w="2160" w:type="dxa"/>
            <w:shd w:val="clear" w:color="auto" w:fill="auto"/>
            <w:noWrap w:val="0"/>
            <w:vAlign w:val="center"/>
          </w:tcPr>
          <w:p w14:paraId="094217F8">
            <w:pPr>
              <w:pStyle w:val="19"/>
              <w:widowControl/>
              <w:spacing w:before="70" w:line="219" w:lineRule="auto"/>
              <w:ind w:left="143" w:leftChars="0" w:firstLine="0" w:firstLineChars="0"/>
              <w:jc w:val="center"/>
              <w:rPr>
                <w:rFonts w:hint="eastAsia" w:ascii="仿宋_GB2312" w:hAnsi="仿宋_GB2312" w:eastAsia="仿宋_GB2312" w:cs="仿宋_GB2312"/>
                <w:snapToGrid w:val="0"/>
                <w:color w:val="000000"/>
                <w:spacing w:val="-1"/>
                <w:kern w:val="0"/>
                <w:sz w:val="20"/>
                <w:szCs w:val="20"/>
                <w:lang w:val="en-US" w:eastAsia="en-US" w:bidi="ar-SA"/>
              </w:rPr>
            </w:pPr>
            <w:r>
              <w:rPr>
                <w:rFonts w:hint="eastAsia" w:ascii="仿宋_GB2312" w:hAnsi="仿宋_GB2312" w:eastAsia="仿宋_GB2312" w:cs="仿宋_GB2312"/>
                <w:spacing w:val="-1"/>
                <w:position w:val="0"/>
                <w:sz w:val="20"/>
                <w:szCs w:val="20"/>
              </w:rPr>
              <w:t>——</w:t>
            </w:r>
          </w:p>
        </w:tc>
      </w:tr>
    </w:tbl>
    <w:p w14:paraId="2CCED348">
      <w:pPr>
        <w:pStyle w:val="3"/>
        <w:shd w:val="clear"/>
        <w:spacing w:before="62" w:after="93"/>
        <w:ind w:firstLine="643"/>
        <w:jc w:val="left"/>
        <w:rPr>
          <w:rFonts w:hint="eastAsia"/>
          <w:b w:val="0"/>
          <w:bCs/>
          <w:color w:val="auto"/>
          <w:highlight w:val="none"/>
        </w:rPr>
      </w:pPr>
      <w:bookmarkStart w:id="70" w:name="_Toc21603"/>
      <w:bookmarkStart w:id="71" w:name="_Toc12833"/>
      <w:bookmarkStart w:id="72" w:name="_Toc5720"/>
      <w:r>
        <w:rPr>
          <w:rFonts w:hint="eastAsia"/>
          <w:b w:val="0"/>
          <w:bCs/>
          <w:color w:val="auto"/>
          <w:highlight w:val="none"/>
          <w:lang w:val="en-US" w:eastAsia="zh-CN"/>
        </w:rPr>
        <w:t>四</w:t>
      </w:r>
      <w:r>
        <w:rPr>
          <w:rFonts w:hint="eastAsia"/>
          <w:b w:val="0"/>
          <w:bCs/>
          <w:color w:val="auto"/>
          <w:highlight w:val="none"/>
        </w:rPr>
        <w:t>、空间布局</w:t>
      </w:r>
      <w:bookmarkEnd w:id="70"/>
      <w:bookmarkEnd w:id="71"/>
      <w:bookmarkEnd w:id="72"/>
    </w:p>
    <w:p w14:paraId="40AA2513">
      <w:pPr>
        <w:rPr>
          <w:rFonts w:hint="eastAsia" w:ascii="Times New Roman" w:hAnsi="Times New Roman" w:cs="Times New Roman"/>
          <w:b w:val="0"/>
          <w:bCs w:val="0"/>
          <w:color w:val="auto"/>
          <w:szCs w:val="32"/>
          <w:highlight w:val="none"/>
          <w:lang w:val="en-US" w:eastAsia="zh-CN"/>
        </w:rPr>
      </w:pPr>
      <w:r>
        <w:rPr>
          <w:rFonts w:hint="eastAsia" w:ascii="Times New Roman" w:hAnsi="Times New Roman" w:eastAsia="仿宋_GB2312" w:cs="Times New Roman"/>
          <w:color w:val="auto"/>
          <w:sz w:val="32"/>
          <w:szCs w:val="32"/>
          <w:highlight w:val="none"/>
        </w:rPr>
        <w:t>“十五五”期间，统筹全域旅游文化体育资源，加快构建“一带、三区、多点”旅游文化体育发展空间格局，推动全域协同、陆海联动、城乡融合高质量发展。</w:t>
      </w:r>
    </w:p>
    <w:p w14:paraId="3847CD67">
      <w:pPr>
        <w:pStyle w:val="4"/>
        <w:shd w:val="clear"/>
        <w:ind w:firstLine="479"/>
        <w:rPr>
          <w:rFonts w:hint="default" w:eastAsia="楷体"/>
          <w:color w:val="auto"/>
          <w:highlight w:val="none"/>
          <w:lang w:val="en-US" w:eastAsia="zh-CN"/>
        </w:rPr>
      </w:pPr>
      <w:r>
        <w:rPr>
          <w:rFonts w:hint="eastAsia"/>
          <w:color w:val="auto"/>
          <w:highlight w:val="none"/>
        </w:rPr>
        <w:t>（一）一</w:t>
      </w:r>
      <w:r>
        <w:rPr>
          <w:rFonts w:hint="eastAsia"/>
          <w:color w:val="auto"/>
          <w:highlight w:val="none"/>
          <w:lang w:val="en-US" w:eastAsia="zh-CN"/>
        </w:rPr>
        <w:t>带引领</w:t>
      </w:r>
    </w:p>
    <w:p w14:paraId="76864821">
      <w:pPr>
        <w:rPr>
          <w:rFonts w:hint="eastAsia" w:ascii="Times New Roman" w:hAnsi="Times New Roman" w:eastAsia="仿宋_GB2312" w:cs="Times New Roman"/>
          <w:color w:val="auto"/>
          <w:sz w:val="32"/>
          <w:szCs w:val="32"/>
          <w:highlight w:val="none"/>
        </w:rPr>
      </w:pPr>
      <w:r>
        <w:rPr>
          <w:rFonts w:hint="eastAsia" w:ascii="Times New Roman" w:hAnsi="Times New Roman"/>
          <w:b/>
          <w:bCs/>
          <w:color w:val="auto"/>
          <w:szCs w:val="32"/>
          <w:highlight w:val="none"/>
        </w:rPr>
        <w:t>——滨海文旅湾区体验带</w:t>
      </w:r>
      <w:r>
        <w:rPr>
          <w:rFonts w:hint="eastAsia" w:ascii="Times New Roman" w:hAnsi="Times New Roman"/>
          <w:b/>
          <w:bCs/>
          <w:color w:val="auto"/>
          <w:szCs w:val="32"/>
          <w:highlight w:val="none"/>
          <w:lang w:eastAsia="zh-CN"/>
        </w:rPr>
        <w:t>。</w:t>
      </w:r>
      <w:r>
        <w:rPr>
          <w:rFonts w:hint="eastAsia" w:ascii="Times New Roman" w:hAnsi="Times New Roman" w:eastAsia="仿宋_GB2312" w:cs="Times New Roman"/>
          <w:color w:val="auto"/>
          <w:sz w:val="32"/>
          <w:szCs w:val="32"/>
          <w:highlight w:val="none"/>
        </w:rPr>
        <w:t>依托万宁109公里黄金海岸线，串联山钦湾、石梅湾、日月湾等十余处优质海湾，坚持湾区一体化联动发展。持续完善滨海旅游基础设施与配套服务，统筹整合城市空间、海湾海岛、旅游度假区等优质资源，大力培育游艇休闲、水上运动、低空飞行等新兴旅游业态，推动海洋旅游跨越式发展，持续提升湾区整体品质能级，着力建成</w:t>
      </w:r>
      <w:r>
        <w:rPr>
          <w:rStyle w:val="15"/>
          <w:rFonts w:hint="eastAsia" w:ascii="Times New Roman" w:hAnsi="Times New Roman" w:eastAsia="仿宋_GB2312" w:cs="Times New Roman"/>
          <w:b w:val="0"/>
          <w:bCs w:val="0"/>
          <w:color w:val="auto"/>
          <w:sz w:val="32"/>
          <w:szCs w:val="32"/>
          <w:highlight w:val="none"/>
        </w:rPr>
        <w:t>产品多元丰富、沉浸式体验完善、国际化品质一流</w:t>
      </w:r>
      <w:r>
        <w:rPr>
          <w:rFonts w:hint="eastAsia" w:ascii="Times New Roman" w:hAnsi="Times New Roman" w:eastAsia="仿宋_GB2312" w:cs="Times New Roman"/>
          <w:color w:val="auto"/>
          <w:sz w:val="32"/>
          <w:szCs w:val="32"/>
          <w:highlight w:val="none"/>
        </w:rPr>
        <w:t>的滨海文旅湾区体验带。</w:t>
      </w:r>
    </w:p>
    <w:p w14:paraId="5F6B1334">
      <w:pPr>
        <w:pStyle w:val="4"/>
        <w:shd w:val="clear"/>
        <w:ind w:firstLine="479"/>
        <w:rPr>
          <w:rFonts w:hint="default"/>
          <w:color w:val="auto"/>
          <w:highlight w:val="none"/>
          <w:lang w:val="en-US" w:eastAsia="zh-CN"/>
        </w:rPr>
      </w:pPr>
      <w:r>
        <w:rPr>
          <w:rFonts w:hint="eastAsia"/>
          <w:color w:val="auto"/>
          <w:highlight w:val="none"/>
          <w:lang w:val="en-US" w:eastAsia="zh-CN"/>
        </w:rPr>
        <w:t>（二）三区协同</w:t>
      </w:r>
    </w:p>
    <w:p w14:paraId="032105A3">
      <w:pPr>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统筹打造</w:t>
      </w:r>
      <w:r>
        <w:rPr>
          <w:rStyle w:val="15"/>
          <w:rFonts w:hint="eastAsia" w:ascii="Times New Roman" w:hAnsi="Times New Roman" w:eastAsia="仿宋_GB2312" w:cs="Times New Roman"/>
          <w:b/>
          <w:bCs/>
          <w:color w:val="auto"/>
          <w:sz w:val="32"/>
          <w:szCs w:val="32"/>
          <w:highlight w:val="none"/>
        </w:rPr>
        <w:t>南部侨咖体旅度假区、中部城港旅游服务区、北部渔旅康养示范区</w:t>
      </w:r>
      <w:r>
        <w:rPr>
          <w:rFonts w:hint="eastAsia" w:ascii="Times New Roman" w:hAnsi="Times New Roman" w:eastAsia="仿宋_GB2312" w:cs="Times New Roman"/>
          <w:color w:val="auto"/>
          <w:sz w:val="32"/>
          <w:szCs w:val="32"/>
          <w:highlight w:val="none"/>
        </w:rPr>
        <w:t>三大核心功能板块，形成南北呼应、中部支撑、功能互补、全域协同的发展格局。</w:t>
      </w:r>
    </w:p>
    <w:p w14:paraId="25E57593">
      <w:pPr>
        <w:rPr>
          <w:rFonts w:hint="eastAsia"/>
          <w:lang w:val="en-US" w:eastAsia="zh-CN"/>
        </w:rPr>
      </w:pPr>
      <w:r>
        <w:rPr>
          <w:rFonts w:hint="eastAsia"/>
          <w:lang w:val="en-US" w:eastAsia="zh-CN"/>
        </w:rPr>
        <w:t>——</w:t>
      </w:r>
      <w:r>
        <w:rPr>
          <w:rFonts w:hint="eastAsia"/>
          <w:b/>
          <w:bCs/>
          <w:highlight w:val="none"/>
          <w:lang w:val="en-US" w:eastAsia="zh-CN"/>
        </w:rPr>
        <w:t>南部侨咖体旅度假区</w:t>
      </w:r>
      <w:r>
        <w:rPr>
          <w:rFonts w:hint="eastAsia"/>
          <w:lang w:val="en-US" w:eastAsia="zh-CN"/>
        </w:rPr>
        <w:t>。以“体育为核、滨海为韵、侨乡为魂、咖啡为媒”为核心思路，统筹“三大湾区+兴隆片区”协同发展。日月湾深耕冲浪全产业链，以顶级赛事塑造世界级冲浪品牌；石梅湾以获批国家级旅游度假区为新起点，推动滨海度假消费升级，提升国际化建设水平，打造旅游度假区升级版；神州半岛重点发展游艇、摩托艇等水上运动，建设国民休闲运动中心；兴隆片区深挖侨乡文化底蕴，串联热带植物园等生态资源，做强咖啡产业链，融合温泉康养、东南亚风情体验打造侨咖文旅度假产品。将万宁南部打造为生态优良、业态多元、特色鲜明的侨咖体旅度假区。</w:t>
      </w:r>
    </w:p>
    <w:p w14:paraId="6828453E">
      <w:pPr>
        <w:rPr>
          <w:rFonts w:hint="eastAsia"/>
          <w:lang w:val="en-US" w:eastAsia="zh-CN"/>
        </w:rPr>
      </w:pPr>
      <w:r>
        <w:rPr>
          <w:rFonts w:hint="eastAsia"/>
          <w:lang w:val="en-US" w:eastAsia="zh-CN"/>
        </w:rPr>
        <w:t>——</w:t>
      </w:r>
      <w:r>
        <w:rPr>
          <w:rFonts w:hint="eastAsia"/>
          <w:b/>
          <w:bCs/>
          <w:lang w:val="en-US" w:eastAsia="zh-CN"/>
        </w:rPr>
        <w:t>中部城港旅游服务区</w:t>
      </w:r>
      <w:r>
        <w:rPr>
          <w:rFonts w:hint="eastAsia"/>
          <w:lang w:val="en-US" w:eastAsia="zh-CN"/>
        </w:rPr>
        <w:t>。紧扣“城港联动、蓝绿共生、文商旅融合”定位，整合“城－山（东山岭）－海（小海）－港（乌场港）”资源协同发力。城区激活商业空间，布局城市文化街区、夜间消费商圈、智慧游客集散中心，完善高品质酒店、特色餐饮、旅游购物等服务供给；提质升级东山岭旅游景区，打造集文化体验、生态观光、祈福康养、休闲度假于一体的复合型文化旅游景区；深度挖掘小海渔耕文化、生态文化、海鲜美食文化，打造多元化滨海休闲消费新场景；加快推进乌场一级渔港升级改造，建设集渔港休闲、创意体验、商贸服务、主题度假于一体的现代活力港湾。完善国际化交通、住宿、文娱、智慧旅游等配套体系，提升服务质量，</w:t>
      </w:r>
      <w:r>
        <w:rPr>
          <w:rFonts w:hint="eastAsia" w:ascii="仿宋_GB2312" w:hAnsi="仿宋_GB2312" w:eastAsia="仿宋_GB2312" w:cs="Times New Roman"/>
          <w:sz w:val="32"/>
          <w:szCs w:val="24"/>
        </w:rPr>
        <w:t>将</w:t>
      </w:r>
      <w:r>
        <w:rPr>
          <w:rFonts w:hint="eastAsia" w:cs="Times New Roman"/>
          <w:sz w:val="32"/>
          <w:szCs w:val="24"/>
          <w:lang w:val="en-US" w:eastAsia="zh-CN"/>
        </w:rPr>
        <w:t>万宁</w:t>
      </w:r>
      <w:r>
        <w:rPr>
          <w:rFonts w:hint="eastAsia" w:ascii="仿宋_GB2312" w:hAnsi="仿宋_GB2312" w:eastAsia="仿宋_GB2312" w:cs="Times New Roman"/>
          <w:sz w:val="32"/>
          <w:szCs w:val="24"/>
        </w:rPr>
        <w:t>中部打造成为生态魅力凸显、文化底蕴深厚、消费活力充沛的城港综合旅游服务区。</w:t>
      </w:r>
    </w:p>
    <w:p w14:paraId="6D04A4DA">
      <w:pPr>
        <w:rPr>
          <w:rFonts w:hint="eastAsia" w:ascii="仿宋_GB2312" w:hAnsi="仿宋_GB2312" w:eastAsia="仿宋_GB2312" w:cs="Times New Roman"/>
          <w:sz w:val="32"/>
          <w:szCs w:val="24"/>
        </w:rPr>
      </w:pPr>
      <w:r>
        <w:rPr>
          <w:rFonts w:hint="eastAsia"/>
          <w:lang w:val="en-US" w:eastAsia="zh-CN"/>
        </w:rPr>
        <w:t>——</w:t>
      </w:r>
      <w:r>
        <w:rPr>
          <w:rFonts w:hint="eastAsia"/>
          <w:b/>
          <w:bCs/>
          <w:lang w:val="en-US" w:eastAsia="zh-CN"/>
        </w:rPr>
        <w:t>北部渔旅康养示范区</w:t>
      </w:r>
      <w:r>
        <w:rPr>
          <w:rFonts w:hint="eastAsia"/>
          <w:lang w:val="en-US" w:eastAsia="zh-CN"/>
        </w:rPr>
        <w:t>。紧扣“渔业为基、康养为核、农旅融合”定位，依托龙滚河生态水域、特色水产养殖、热带农业等资源优势，推动传统渔业转型升级，聚焦和乐蟹、东星斑等特色水产品类，大力发展生态养殖、渔港休闲、海鲜美食等业态，深度挖掘渔耕民俗文化，打造“海上人家”沉浸式特色体验场景；主动承接琼海“医疗旅游之都”产业溢出效应，激活康养产业发展动能，加快推进海南盖娅康养圣地等高端康养项目建设，布局旅居养老、生态疗养、健康休闲等康养产品，完善乡村旅游配套设施，推进滨海湿地生态修复治理，将万宁北部打造成为</w:t>
      </w:r>
      <w:r>
        <w:rPr>
          <w:rFonts w:hint="eastAsia" w:ascii="仿宋_GB2312" w:hAnsi="仿宋_GB2312" w:eastAsia="仿宋_GB2312" w:cs="Times New Roman"/>
          <w:sz w:val="32"/>
          <w:szCs w:val="24"/>
        </w:rPr>
        <w:t>特色鲜明、生态宜居、宜养宜游的渔旅康养示范区。</w:t>
      </w:r>
    </w:p>
    <w:p w14:paraId="5A31011A">
      <w:pPr>
        <w:pStyle w:val="4"/>
        <w:shd w:val="clear"/>
        <w:ind w:firstLine="479"/>
        <w:rPr>
          <w:rFonts w:hint="default"/>
          <w:color w:val="auto"/>
          <w:highlight w:val="none"/>
          <w:lang w:val="en-US" w:eastAsia="zh-CN"/>
        </w:rPr>
      </w:pPr>
      <w:r>
        <w:rPr>
          <w:rFonts w:hint="eastAsia"/>
          <w:color w:val="auto"/>
          <w:highlight w:val="none"/>
          <w:lang w:val="en-US" w:eastAsia="zh-CN"/>
        </w:rPr>
        <w:t>（三）多点支撑</w:t>
      </w:r>
    </w:p>
    <w:p w14:paraId="53E651FD">
      <w:pPr>
        <w:rPr>
          <w:rFonts w:hint="eastAsia" w:ascii="仿宋_GB2312" w:hAnsi="仿宋_GB2312" w:eastAsia="仿宋_GB2312" w:cs="Times New Roman"/>
          <w:sz w:val="32"/>
          <w:szCs w:val="24"/>
        </w:rPr>
      </w:pPr>
      <w:r>
        <w:rPr>
          <w:rFonts w:hint="eastAsia" w:ascii="仿宋_GB2312" w:hAnsi="仿宋_GB2312" w:eastAsia="仿宋_GB2312" w:cs="Times New Roman"/>
          <w:sz w:val="32"/>
          <w:szCs w:val="24"/>
        </w:rPr>
        <w:t>坚持差异化、品质化发展方向，引导各乡镇立足自身资源禀赋与区位优势，深化</w:t>
      </w:r>
      <w:r>
        <w:rPr>
          <w:rFonts w:hint="eastAsia" w:cs="Times New Roman"/>
          <w:sz w:val="32"/>
          <w:szCs w:val="24"/>
          <w:lang w:eastAsia="zh-CN"/>
        </w:rPr>
        <w:t>“</w:t>
      </w:r>
      <w:r>
        <w:rPr>
          <w:rStyle w:val="15"/>
          <w:rFonts w:hint="eastAsia" w:ascii="仿宋_GB2312" w:hAnsi="仿宋_GB2312" w:eastAsia="仿宋_GB2312" w:cs="Times New Roman"/>
          <w:b w:val="0"/>
          <w:bCs w:val="0"/>
          <w:color w:val="000000"/>
          <w:sz w:val="32"/>
          <w:szCs w:val="24"/>
        </w:rPr>
        <w:t>文旅+百业</w:t>
      </w:r>
      <w:r>
        <w:rPr>
          <w:rFonts w:hint="eastAsia" w:cs="Times New Roman"/>
          <w:b w:val="0"/>
          <w:bCs w:val="0"/>
          <w:sz w:val="32"/>
          <w:szCs w:val="24"/>
          <w:lang w:eastAsia="zh-CN"/>
        </w:rPr>
        <w:t>”</w:t>
      </w:r>
      <w:r>
        <w:rPr>
          <w:rFonts w:hint="eastAsia" w:ascii="仿宋_GB2312" w:hAnsi="仿宋_GB2312" w:eastAsia="仿宋_GB2312" w:cs="Times New Roman"/>
          <w:sz w:val="32"/>
          <w:szCs w:val="24"/>
        </w:rPr>
        <w:t>双向</w:t>
      </w:r>
      <w:r>
        <w:rPr>
          <w:rFonts w:hint="eastAsia" w:cs="Times New Roman"/>
          <w:sz w:val="32"/>
          <w:szCs w:val="24"/>
          <w:lang w:val="en-US" w:eastAsia="zh-CN"/>
        </w:rPr>
        <w:t>赋能</w:t>
      </w:r>
      <w:r>
        <w:rPr>
          <w:rFonts w:hint="eastAsia" w:ascii="仿宋_GB2312" w:hAnsi="仿宋_GB2312" w:eastAsia="仿宋_GB2312" w:cs="Times New Roman"/>
          <w:sz w:val="32"/>
          <w:szCs w:val="24"/>
        </w:rPr>
        <w:t>，构建文旅深度融合的现代化产品与服务体系，打造一批文化内涵深厚、特色亮点突出的精品旅游景区。</w:t>
      </w:r>
      <w:r>
        <w:rPr>
          <w:rFonts w:hint="eastAsia"/>
          <w:lang w:val="en-US" w:eastAsia="zh-CN"/>
        </w:rPr>
        <w:t>加快推进潮玩王府井、“热带雨林”生态项目、“红色六连岭”研学项目、“野趣尖岭”漂流</w:t>
      </w:r>
      <w:r>
        <w:rPr>
          <w:rFonts w:hint="eastAsia" w:ascii="仿宋_GB2312" w:hAnsi="仿宋_GB2312" w:eastAsia="仿宋_GB2312" w:cs="Times New Roman"/>
          <w:sz w:val="32"/>
          <w:szCs w:val="24"/>
        </w:rPr>
        <w:t>项目等重点项目落地见效；培育椰级乡村旅游点、特色乡村咖啡业态、精品民宿集群；系统构建多点发力、全域联动、特色互补的全域旅游发展格局，夯实全市文旅体高质量发展基础，打造彰显万宁地域文化的重要展示窗口，为乡村振兴、区域协调发展注入强劲动能。</w:t>
      </w:r>
    </w:p>
    <w:p w14:paraId="053FD7D8">
      <w:pPr>
        <w:ind w:firstLine="0" w:firstLineChars="0"/>
        <w:rPr>
          <w:rFonts w:hint="eastAsia"/>
          <w:lang w:val="en-US" w:eastAsia="zh-CN"/>
        </w:rPr>
      </w:pPr>
      <w:r>
        <w:rPr>
          <w:rFonts w:hint="eastAsia"/>
          <w:lang w:val="en-US" w:eastAsia="zh-CN"/>
        </w:rPr>
        <w:br w:type="page"/>
      </w:r>
    </w:p>
    <w:p w14:paraId="681D7B57">
      <w:pPr>
        <w:pStyle w:val="2"/>
        <w:shd w:val="clear"/>
        <w:spacing w:after="62"/>
        <w:ind w:firstLine="0" w:firstLineChars="0"/>
        <w:jc w:val="center"/>
        <w:rPr>
          <w:rFonts w:hint="eastAsia"/>
          <w:b w:val="0"/>
          <w:bCs/>
          <w:color w:val="auto"/>
          <w:sz w:val="36"/>
          <w:szCs w:val="48"/>
          <w:highlight w:val="none"/>
        </w:rPr>
      </w:pPr>
      <w:bookmarkStart w:id="73" w:name="_Toc6071"/>
      <w:bookmarkStart w:id="74" w:name="_Toc25190"/>
      <w:bookmarkStart w:id="75" w:name="_Toc20326"/>
      <w:r>
        <w:rPr>
          <w:rFonts w:hint="eastAsia"/>
          <w:b w:val="0"/>
          <w:bCs/>
          <w:color w:val="auto"/>
          <w:sz w:val="36"/>
          <w:szCs w:val="48"/>
          <w:highlight w:val="none"/>
        </w:rPr>
        <w:t xml:space="preserve">第三章 </w:t>
      </w:r>
      <w:r>
        <w:rPr>
          <w:rFonts w:hint="eastAsia"/>
          <w:b w:val="0"/>
          <w:bCs/>
          <w:color w:val="auto"/>
          <w:sz w:val="36"/>
          <w:szCs w:val="48"/>
          <w:highlight w:val="none"/>
          <w:lang w:val="en-US" w:eastAsia="zh-CN"/>
        </w:rPr>
        <w:t>深</w:t>
      </w:r>
      <w:r>
        <w:rPr>
          <w:rFonts w:hint="eastAsia"/>
          <w:b w:val="0"/>
          <w:bCs/>
          <w:color w:val="auto"/>
          <w:sz w:val="36"/>
          <w:szCs w:val="48"/>
          <w:highlight w:val="none"/>
        </w:rPr>
        <w:t>化旅游产品供给</w:t>
      </w:r>
      <w:bookmarkEnd w:id="73"/>
      <w:bookmarkEnd w:id="74"/>
      <w:bookmarkEnd w:id="75"/>
    </w:p>
    <w:p w14:paraId="5D2DB034">
      <w:pPr>
        <w:pStyle w:val="3"/>
        <w:shd w:val="clear"/>
        <w:spacing w:before="62" w:after="93"/>
        <w:ind w:firstLine="643"/>
        <w:jc w:val="left"/>
        <w:rPr>
          <w:rFonts w:hint="eastAsia"/>
          <w:b w:val="0"/>
          <w:bCs/>
          <w:color w:val="auto"/>
          <w:highlight w:val="none"/>
        </w:rPr>
      </w:pPr>
      <w:bookmarkStart w:id="76" w:name="_Toc4970"/>
      <w:bookmarkStart w:id="77" w:name="_Toc16330"/>
      <w:bookmarkStart w:id="78" w:name="_Toc10277"/>
      <w:r>
        <w:rPr>
          <w:rFonts w:hint="eastAsia"/>
          <w:b w:val="0"/>
          <w:bCs/>
          <w:color w:val="auto"/>
          <w:highlight w:val="none"/>
          <w:lang w:val="en-US" w:eastAsia="zh-CN"/>
        </w:rPr>
        <w:t>一</w:t>
      </w:r>
      <w:r>
        <w:rPr>
          <w:rFonts w:hint="eastAsia"/>
          <w:b w:val="0"/>
          <w:bCs/>
          <w:color w:val="auto"/>
          <w:highlight w:val="none"/>
        </w:rPr>
        <w:t>、</w:t>
      </w:r>
      <w:r>
        <w:rPr>
          <w:rFonts w:hint="eastAsia"/>
          <w:b w:val="0"/>
          <w:bCs/>
          <w:color w:val="auto"/>
          <w:highlight w:val="none"/>
          <w:lang w:val="en-US" w:eastAsia="zh-CN"/>
        </w:rPr>
        <w:t>做强六</w:t>
      </w:r>
      <w:r>
        <w:rPr>
          <w:rFonts w:hint="eastAsia"/>
          <w:b w:val="0"/>
          <w:bCs/>
          <w:color w:val="auto"/>
          <w:highlight w:val="none"/>
        </w:rPr>
        <w:t>大主题</w:t>
      </w:r>
      <w:r>
        <w:rPr>
          <w:rFonts w:hint="eastAsia"/>
          <w:b w:val="0"/>
          <w:bCs/>
          <w:color w:val="auto"/>
          <w:highlight w:val="none"/>
          <w:lang w:val="en-US" w:eastAsia="zh-CN"/>
        </w:rPr>
        <w:t>旅游</w:t>
      </w:r>
      <w:r>
        <w:rPr>
          <w:rFonts w:hint="eastAsia"/>
          <w:b w:val="0"/>
          <w:bCs/>
          <w:color w:val="auto"/>
          <w:highlight w:val="none"/>
        </w:rPr>
        <w:t>产品</w:t>
      </w:r>
      <w:bookmarkEnd w:id="76"/>
      <w:bookmarkEnd w:id="77"/>
      <w:bookmarkEnd w:id="78"/>
    </w:p>
    <w:p w14:paraId="1B9F6D59">
      <w:pPr>
        <w:pStyle w:val="4"/>
        <w:shd w:val="clear"/>
        <w:ind w:firstLine="479"/>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湾区旅游产品</w:t>
      </w:r>
    </w:p>
    <w:p w14:paraId="652CA0AE">
      <w:pPr>
        <w:rPr>
          <w:rFonts w:hint="eastAsia" w:cs="仿宋_GB2312"/>
          <w:color w:val="000000" w:themeColor="text1"/>
          <w:sz w:val="32"/>
          <w:szCs w:val="32"/>
          <w:highlight w:val="none"/>
          <w:lang w:val="en-US" w:eastAsia="zh-CN"/>
          <w14:textFill>
            <w14:solidFill>
              <w14:schemeClr w14:val="tx1"/>
            </w14:solidFill>
          </w14:textFill>
        </w:rPr>
      </w:pPr>
      <w:r>
        <w:rPr>
          <w:rFonts w:hint="eastAsia" w:cs="仿宋_GB2312"/>
          <w:color w:val="000000" w:themeColor="text1"/>
          <w:sz w:val="32"/>
          <w:szCs w:val="32"/>
          <w:highlight w:val="none"/>
          <w:lang w:val="en-US" w:eastAsia="zh-CN"/>
          <w14:textFill>
            <w14:solidFill>
              <w14:schemeClr w14:val="tx1"/>
            </w14:solidFill>
          </w14:textFill>
        </w:rPr>
        <w:t>以环岛旅游公路（万宁段）为纽带，整合海洋、岸线、海岛、海湾优质资源，深化“一湾一品”差异化布局，串联山根湾、山钦湾、南燕湾、神州半岛、石梅湾、日月湾等核心湾区及岛屿资源，打造集滨海观光、休闲消费、康养度假、时尚运动于一体的热带滨海精品旅游目的地。</w:t>
      </w:r>
    </w:p>
    <w:p w14:paraId="1B682E2C">
      <w:pP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pPr>
      <w:r>
        <w:rPr>
          <w:rStyle w:val="15"/>
          <w:rFonts w:hint="eastAsia" w:ascii="仿宋_GB2312" w:hAnsi="仿宋_GB2312" w:eastAsia="仿宋_GB2312" w:cs="仿宋_GB2312"/>
          <w:b/>
          <w:bCs/>
          <w:color w:val="000000" w:themeColor="text1"/>
          <w:kern w:val="2"/>
          <w:sz w:val="32"/>
          <w:szCs w:val="32"/>
          <w:highlight w:val="none"/>
          <w:lang w:val="en-US" w:eastAsia="zh-CN" w:bidi="ar"/>
          <w14:textFill>
            <w14:solidFill>
              <w14:schemeClr w14:val="tx1"/>
            </w14:solidFill>
          </w14:textFill>
        </w:rPr>
        <w:t>游艇休闲旅游</w:t>
      </w:r>
      <w:r>
        <w:rPr>
          <w:rFonts w:hint="eastAsia" w:cs="仿宋_GB2312"/>
          <w:b/>
          <w:bCs/>
          <w:color w:val="000000" w:themeColor="text1"/>
          <w:kern w:val="2"/>
          <w:sz w:val="32"/>
          <w:szCs w:val="32"/>
          <w:highlight w:val="none"/>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加快“一心三核多节点”</w:t>
      </w:r>
      <w:r>
        <w:rPr>
          <w:rStyle w:val="18"/>
          <w:rFonts w:hint="eastAsia" w:ascii="宋体" w:hAnsi="宋体" w:eastAsia="宋体" w:cs="宋体"/>
          <w:bCs/>
          <w:color w:val="auto"/>
          <w:sz w:val="24"/>
          <w:highlight w:val="none"/>
        </w:rPr>
        <w:t>[</w:t>
      </w:r>
      <w:r>
        <w:rPr>
          <w:rStyle w:val="18"/>
          <w:rFonts w:hint="eastAsia" w:ascii="宋体" w:hAnsi="宋体" w:eastAsia="宋体" w:cs="宋体"/>
          <w:bCs/>
          <w:color w:val="auto"/>
          <w:sz w:val="24"/>
          <w:highlight w:val="none"/>
        </w:rPr>
        <w:footnoteReference w:id="0"/>
      </w:r>
      <w:r>
        <w:rPr>
          <w:rStyle w:val="18"/>
          <w:rFonts w:hint="eastAsia" w:ascii="宋体" w:hAnsi="宋体" w:eastAsia="宋体" w:cs="宋体"/>
          <w:bCs/>
          <w:color w:val="auto"/>
          <w:sz w:val="24"/>
          <w:highlight w:val="none"/>
        </w:rPr>
        <w:t>]</w:t>
      </w:r>
      <w:r>
        <w:rPr>
          <w:rFonts w:hint="eastAsia" w:cs="仿宋_GB2312"/>
          <w:color w:val="000000" w:themeColor="text1"/>
          <w:sz w:val="32"/>
          <w:szCs w:val="32"/>
          <w:highlight w:val="none"/>
          <w:lang w:val="en-US" w:eastAsia="zh-CN"/>
          <w14:textFill>
            <w14:solidFill>
              <w14:schemeClr w14:val="tx1"/>
            </w14:solidFill>
          </w14:textFill>
        </w:rPr>
        <w:t>游艇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码头体系建设，</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依托石梅湾、日月湾、老爷海、神州半岛等游艇码头布局优势，完善游艇停靠、维保、接待一体化运营服务，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夯实</w:t>
      </w:r>
      <w:r>
        <w:rPr>
          <w:rFonts w:hint="eastAsia" w:cs="仿宋_GB2312"/>
          <w:color w:val="000000" w:themeColor="text1"/>
          <w:sz w:val="32"/>
          <w:szCs w:val="32"/>
          <w:highlight w:val="none"/>
          <w:lang w:val="en-US" w:eastAsia="zh-CN"/>
          <w14:textFill>
            <w14:solidFill>
              <w14:schemeClr w14:val="tx1"/>
            </w14:solidFill>
          </w14:textFill>
        </w:rPr>
        <w:t>游艇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旅游发展基础。</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大力开发豪华游艇出海包船、私人定制游艇派对、高端海上社交、近海休闲海钓、游艇潜水观光、环岛游艇巡航等多元化高端滨海休闲业态，主动联动海口、三亚等周边市县，深化游艇领域跨区域合作，打造高品质、国际化游艇度假体验体系。</w:t>
      </w:r>
    </w:p>
    <w:p w14:paraId="2510A1F1">
      <w:pP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
          <w14:textFill>
            <w14:solidFill>
              <w14:schemeClr w14:val="tx1"/>
            </w14:solidFill>
          </w14:textFill>
        </w:rPr>
        <w:t>滨海观光体验。</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整合优质沙滩、滨海栈道、海岛岸线等景观资源，完善滨海路网、智慧服务等公服配套，构建陆海联动、山海相融的全景式滨海游览体系。打造滨海沙滩派对、特色海鲜美食市集、海上空中飞行观光、滨海沙滩休闲俱乐部、山海全景观光栈道、海底漫步探秘、浮潜珊瑚观光、海岛生态研学、珍稀海洋生物观赏等沉浸式滨海观光产品，构建陆海联动、山海相融的全景式滨海游览体系。</w:t>
      </w:r>
    </w:p>
    <w:p w14:paraId="7E9A0E79">
      <w:pP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
          <w14:textFill>
            <w14:solidFill>
              <w14:schemeClr w14:val="tx1"/>
            </w14:solidFill>
          </w14:textFill>
        </w:rPr>
        <w:t>滨海度假旅居。</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以石梅湾国家级旅游度假区为核心引领，联动万宁日月湾“雪与浪”国际海岸度假区、神州半岛旅游度假区、老爷海国家湿地公园、龙滚镇滨海文旅融合发展片区等重点度假载体，统筹高端酒店、滨海旅居、生态休闲、康养度假等功能，打造集滨海居住、休闲放松、生态游憩、度假旅居于一体的高品质滨海度假目的地集群。联动周边市县策划推出海陆空联动精品旅游线路，提升度假旅居的便捷性与丰富度，彰显万宁滨海度假特色。</w:t>
      </w:r>
    </w:p>
    <w:p w14:paraId="5C10D1BD">
      <w:pP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2"/>
          <w:sz w:val="32"/>
          <w:szCs w:val="32"/>
          <w:highlight w:val="none"/>
          <w:lang w:val="en-US" w:eastAsia="zh-CN" w:bidi="ar"/>
          <w14:textFill>
            <w14:solidFill>
              <w14:schemeClr w14:val="tx1"/>
            </w14:solidFill>
          </w14:textFill>
        </w:rPr>
        <w:t>滨海运动休闲。</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全面培育时尚潮流水上运动与户外滨海运动体系，依托游艇码头体系及滨海优质资源，重点发展世界级冲浪运动、近海休闲海钓、水上摩托竞速、滨海游泳健身、特色潜水体验、帆船航行、立式桨板（SUP）、皮划艇竞技、海上拖曳伞、海上飞板、尾波滑水、风浪板运动、高空跳伞滑翔等全品类滨海运动项目。布局海上浮岛微乐园、海底探险等新兴运动关联业态，形成覆盖大众休闲、专业竞技、潮流潮玩的多层次滨海运动产品矩阵；打造融合渔业生产、休闲海钓、户外体验于一体的海洋牧场综合体，持续培育特色休闲渔业品牌，推动滨海运动与休闲渔业深度融合。</w:t>
      </w:r>
    </w:p>
    <w:p w14:paraId="59E3DC99">
      <w:pPr>
        <w:widowControl/>
        <w:jc w:val="left"/>
        <w:rPr>
          <w:rFonts w:hint="eastAsia" w:cs="仿宋_GB2312"/>
          <w:color w:val="000000" w:themeColor="text1"/>
          <w:sz w:val="32"/>
          <w:szCs w:val="32"/>
          <w:highlight w:val="none"/>
          <w:lang w:eastAsia="zh-CN" w:bidi="ar"/>
          <w14:textFill>
            <w14:solidFill>
              <w14:schemeClr w14:val="tx1"/>
            </w14:solidFill>
          </w14:textFill>
        </w:rPr>
      </w:pPr>
      <w:r>
        <w:rPr>
          <w:rFonts w:hint="eastAsia" w:cs="仿宋_GB2312"/>
          <w:b/>
          <w:bCs/>
          <w:color w:val="000000" w:themeColor="text1"/>
          <w:kern w:val="2"/>
          <w:sz w:val="32"/>
          <w:szCs w:val="32"/>
          <w:highlight w:val="none"/>
          <w:lang w:val="en-US" w:eastAsia="zh-CN" w:bidi="ar"/>
          <w14:textFill>
            <w14:solidFill>
              <w14:schemeClr w14:val="tx1"/>
            </w14:solidFill>
          </w14:textFill>
        </w:rPr>
        <w:t>海岛特色旅游。</w:t>
      </w:r>
      <w:r>
        <w:rPr>
          <w:rFonts w:hint="eastAsia" w:cs="仿宋_GB2312"/>
          <w:color w:val="000000" w:themeColor="text1"/>
          <w:szCs w:val="32"/>
          <w:highlight w:val="none"/>
          <w:lang w:bidi="ar"/>
          <w14:textFill>
            <w14:solidFill>
              <w14:schemeClr w14:val="tx1"/>
            </w14:solidFill>
          </w14:textFill>
        </w:rPr>
        <w:t>大力发展海洋动物观赏旅游项目，</w:t>
      </w:r>
      <w:r>
        <w:rPr>
          <w:rFonts w:hint="eastAsia" w:ascii="仿宋_GB2312" w:hAnsi="仿宋_GB2312" w:eastAsia="仿宋_GB2312" w:cs="仿宋_GB2312"/>
          <w:color w:val="000000" w:themeColor="text1"/>
          <w:sz w:val="32"/>
          <w:szCs w:val="32"/>
          <w:highlight w:val="none"/>
          <w14:textFill>
            <w14:solidFill>
              <w14:schemeClr w14:val="tx1"/>
            </w14:solidFill>
          </w14:textFill>
        </w:rPr>
        <w:t>科学</w:t>
      </w:r>
      <w:r>
        <w:rPr>
          <w:rFonts w:hint="eastAsia" w:cs="仿宋_GB2312"/>
          <w:color w:val="000000" w:themeColor="text1"/>
          <w:sz w:val="32"/>
          <w:szCs w:val="32"/>
          <w:highlight w:val="none"/>
          <w:lang w:val="en-US" w:eastAsia="zh-CN"/>
          <w14:textFill>
            <w14:solidFill>
              <w14:schemeClr w14:val="tx1"/>
            </w14:solidFill>
          </w14:textFill>
        </w:rPr>
        <w:t>合理</w:t>
      </w:r>
      <w:r>
        <w:rPr>
          <w:rFonts w:hint="eastAsia" w:ascii="仿宋_GB2312" w:hAnsi="仿宋_GB2312" w:eastAsia="仿宋_GB2312" w:cs="仿宋_GB2312"/>
          <w:color w:val="000000" w:themeColor="text1"/>
          <w:sz w:val="32"/>
          <w:szCs w:val="32"/>
          <w:highlight w:val="none"/>
          <w14:textFill>
            <w14:solidFill>
              <w14:schemeClr w14:val="tx1"/>
            </w14:solidFill>
          </w14:textFill>
        </w:rPr>
        <w:t>推</w:t>
      </w:r>
      <w:r>
        <w:rPr>
          <w:rFonts w:hint="eastAsia" w:cs="仿宋_GB2312"/>
          <w:color w:val="000000" w:themeColor="text1"/>
          <w:sz w:val="32"/>
          <w:szCs w:val="32"/>
          <w:highlight w:val="none"/>
          <w:lang w:val="en-US" w:eastAsia="zh-CN"/>
          <w14:textFill>
            <w14:solidFill>
              <w14:schemeClr w14:val="tx1"/>
            </w14:solidFill>
          </w14:textFill>
        </w:rPr>
        <w:t>动</w:t>
      </w:r>
      <w:r>
        <w:rPr>
          <w:rFonts w:hint="eastAsia" w:ascii="仿宋_GB2312" w:hAnsi="仿宋_GB2312" w:eastAsia="仿宋_GB2312" w:cs="仿宋_GB2312"/>
          <w:color w:val="000000" w:themeColor="text1"/>
          <w:sz w:val="32"/>
          <w:szCs w:val="32"/>
          <w:highlight w:val="none"/>
          <w14:textFill>
            <w14:solidFill>
              <w14:schemeClr w14:val="tx1"/>
            </w14:solidFill>
          </w14:textFill>
        </w:rPr>
        <w:t>加井岛、洲仔岛等</w:t>
      </w:r>
      <w:r>
        <w:rPr>
          <w:rFonts w:hint="eastAsia" w:cs="仿宋_GB2312"/>
          <w:color w:val="000000" w:themeColor="text1"/>
          <w:szCs w:val="32"/>
          <w:highlight w:val="none"/>
          <w:lang w:bidi="ar"/>
          <w14:textFill>
            <w14:solidFill>
              <w14:schemeClr w14:val="tx1"/>
            </w14:solidFill>
          </w14:textFill>
        </w:rPr>
        <w:t>无居民海岛</w:t>
      </w:r>
      <w:r>
        <w:rPr>
          <w:rFonts w:hint="eastAsia" w:ascii="仿宋_GB2312" w:hAnsi="仿宋_GB2312" w:eastAsia="仿宋_GB2312" w:cs="仿宋_GB2312"/>
          <w:color w:val="000000" w:themeColor="text1"/>
          <w:sz w:val="32"/>
          <w:szCs w:val="32"/>
          <w:highlight w:val="none"/>
          <w14:textFill>
            <w14:solidFill>
              <w14:schemeClr w14:val="tx1"/>
            </w14:solidFill>
          </w14:textFill>
        </w:rPr>
        <w:t>生态旅游</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开发，</w:t>
      </w:r>
      <w:r>
        <w:rPr>
          <w:rFonts w:hint="eastAsia" w:cs="仿宋_GB2312"/>
          <w:color w:val="000000" w:themeColor="text1"/>
          <w:kern w:val="2"/>
          <w:sz w:val="32"/>
          <w:szCs w:val="32"/>
          <w:highlight w:val="none"/>
          <w:lang w:val="en-US" w:eastAsia="zh-CN" w:bidi="ar"/>
          <w14:textFill>
            <w14:solidFill>
              <w14:schemeClr w14:val="tx1"/>
            </w14:solidFill>
          </w14:textFill>
        </w:rPr>
        <w:t>丰富海岛旅游体验</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维度，</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试点推广“跳岛游”模式</w:t>
      </w:r>
      <w:r>
        <w:rPr>
          <w:rFonts w:hint="eastAsia" w:cs="仿宋_GB2312"/>
          <w:color w:val="000000" w:themeColor="text1"/>
          <w:szCs w:val="32"/>
          <w:highlight w:val="none"/>
          <w:lang w:bidi="ar"/>
          <w14:textFill>
            <w14:solidFill>
              <w14:schemeClr w14:val="tx1"/>
            </w14:solidFill>
          </w14:textFill>
        </w:rPr>
        <w:t>。</w:t>
      </w:r>
    </w:p>
    <w:p w14:paraId="78678767">
      <w:pPr>
        <w:widowControl/>
        <w:jc w:val="left"/>
        <w:rPr>
          <w:rFonts w:hint="eastAsia" w:cs="仿宋_GB2312"/>
          <w:color w:val="000000" w:themeColor="text1"/>
          <w:sz w:val="32"/>
          <w:szCs w:val="32"/>
          <w:highlight w:val="none"/>
          <w:lang w:eastAsia="zh-CN" w:bidi="ar"/>
          <w14:textFill>
            <w14:solidFill>
              <w14:schemeClr w14:val="tx1"/>
            </w14:solidFill>
          </w14:textFill>
        </w:rPr>
      </w:pPr>
    </w:p>
    <w:p w14:paraId="013B3F65">
      <w:pPr>
        <w:widowControl/>
        <w:jc w:val="left"/>
        <w:rPr>
          <w:rFonts w:hint="eastAsia" w:ascii="仿宋_GB2312" w:hAnsi="仿宋_GB2312" w:eastAsia="仿宋_GB2312" w:cs="仿宋_GB2312"/>
          <w:color w:val="000000" w:themeColor="text1"/>
          <w:sz w:val="32"/>
          <w:szCs w:val="32"/>
          <w:highlight w:val="none"/>
          <w:lang w:val="en-US" w:eastAsia="zh-CN" w:bidi="ar"/>
          <w14:textFill>
            <w14:solidFill>
              <w14:schemeClr w14:val="tx1"/>
            </w14:solidFill>
          </w14:textFill>
        </w:rPr>
      </w:pP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4881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8342" w:type="dxa"/>
            <w:tcMar>
              <w:top w:w="0" w:type="dxa"/>
              <w:left w:w="108" w:type="dxa"/>
              <w:bottom w:w="0" w:type="dxa"/>
              <w:right w:w="108" w:type="dxa"/>
            </w:tcMar>
            <w:vAlign w:val="center"/>
          </w:tcPr>
          <w:p w14:paraId="65354AC2">
            <w:pPr>
              <w:pStyle w:val="22"/>
              <w:shd w:val="clear"/>
              <w:snapToGrid w:val="0"/>
              <w:ind w:left="425" w:hanging="425"/>
              <w:rPr>
                <w:rFonts w:hint="default"/>
                <w:color w:val="auto"/>
                <w:highlight w:val="none"/>
              </w:rPr>
            </w:pPr>
            <w:r>
              <w:rPr>
                <w:rFonts w:hint="eastAsia"/>
                <w:color w:val="auto"/>
                <w:highlight w:val="none"/>
                <w:lang w:val="en-US" w:eastAsia="zh-CN"/>
              </w:rPr>
              <w:t xml:space="preserve"> </w:t>
            </w:r>
            <w:r>
              <w:rPr>
                <w:rFonts w:hint="eastAsia"/>
                <w:color w:val="auto"/>
                <w:highlight w:val="none"/>
              </w:rPr>
              <w:t>滨海湾区</w:t>
            </w:r>
            <w:r>
              <w:rPr>
                <w:color w:val="auto"/>
                <w:highlight w:val="none"/>
              </w:rPr>
              <w:t>旅游产品</w:t>
            </w:r>
          </w:p>
        </w:tc>
      </w:tr>
      <w:tr w14:paraId="63F6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72DCE787">
            <w:pPr>
              <w:widowControl w:val="0"/>
              <w:numPr>
                <w:ilvl w:val="0"/>
                <w:numId w:val="0"/>
              </w:numPr>
              <w:shd w:val="clear"/>
              <w:snapToGrid w:val="0"/>
              <w:spacing w:line="360" w:lineRule="auto"/>
              <w:ind w:firstLine="482" w:firstLineChars="200"/>
              <w:jc w:val="both"/>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1.“一湾一品”</w:t>
            </w:r>
            <w:r>
              <w:rPr>
                <w:rFonts w:hint="eastAsia" w:cs="仿宋_GB2312"/>
                <w:b/>
                <w:bCs/>
                <w:color w:val="auto"/>
                <w:kern w:val="2"/>
                <w:sz w:val="24"/>
                <w:szCs w:val="24"/>
                <w:highlight w:val="none"/>
                <w:lang w:val="en-US" w:eastAsia="zh-CN" w:bidi="ar-SA"/>
              </w:rPr>
              <w:t>差异化</w:t>
            </w:r>
            <w:r>
              <w:rPr>
                <w:rFonts w:hint="eastAsia" w:ascii="仿宋_GB2312" w:hAnsi="仿宋_GB2312" w:eastAsia="仿宋_GB2312" w:cs="仿宋_GB2312"/>
                <w:b/>
                <w:bCs/>
                <w:color w:val="auto"/>
                <w:kern w:val="2"/>
                <w:sz w:val="24"/>
                <w:szCs w:val="24"/>
                <w:highlight w:val="none"/>
                <w:lang w:val="en-US" w:eastAsia="zh-CN" w:bidi="ar-SA"/>
              </w:rPr>
              <w:t>开发计划：</w:t>
            </w:r>
          </w:p>
          <w:p w14:paraId="4EE9EE21">
            <w:pPr>
              <w:widowControl w:val="0"/>
              <w:numPr>
                <w:ilvl w:val="0"/>
                <w:numId w:val="0"/>
              </w:numPr>
              <w:shd w:val="clear"/>
              <w:snapToGrid w:val="0"/>
              <w:spacing w:line="360" w:lineRule="auto"/>
              <w:ind w:firstLine="482"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kern w:val="2"/>
                <w:sz w:val="24"/>
                <w:szCs w:val="24"/>
                <w:highlight w:val="none"/>
                <w:lang w:val="en-US" w:eastAsia="zh-CN" w:bidi="ar-SA"/>
              </w:rPr>
              <w:t>日月湾</w:t>
            </w:r>
            <w:r>
              <w:rPr>
                <w:rFonts w:hint="eastAsia" w:ascii="仿宋_GB2312" w:hAnsi="仿宋_GB2312" w:eastAsia="仿宋_GB2312" w:cs="仿宋_GB2312"/>
                <w:color w:val="auto"/>
                <w:kern w:val="2"/>
                <w:sz w:val="24"/>
                <w:szCs w:val="24"/>
                <w:highlight w:val="none"/>
                <w:lang w:val="en-US" w:eastAsia="zh-CN" w:bidi="ar-SA"/>
              </w:rPr>
              <w:t>：</w:t>
            </w:r>
            <w:r>
              <w:rPr>
                <w:rFonts w:hint="eastAsia" w:ascii="仿宋_GB2312" w:hAnsi="仿宋_GB2312" w:eastAsia="仿宋_GB2312" w:cs="仿宋_GB2312"/>
                <w:color w:val="auto"/>
                <w:sz w:val="24"/>
                <w:szCs w:val="24"/>
                <w:highlight w:val="none"/>
              </w:rPr>
              <w:t>巩固国际顶级冲浪赛事承办优势，大力发展冲浪培训、潮流运动、青年文化、滨海演艺、网红消费等业态，打造冲浪主题年轻态潮流消费聚集地</w:t>
            </w:r>
            <w:r>
              <w:rPr>
                <w:rFonts w:hint="eastAsia"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高质量户外运动目的地</w:t>
            </w:r>
            <w:r>
              <w:rPr>
                <w:rFonts w:hint="eastAsia"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滨海休闲旅居度假目的地</w:t>
            </w:r>
            <w:r>
              <w:rPr>
                <w:rFonts w:hint="eastAsia"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塑造万宁最具辨识度城市文化IP。</w:t>
            </w:r>
          </w:p>
          <w:p w14:paraId="7AF594D9">
            <w:pPr>
              <w:widowControl w:val="0"/>
              <w:numPr>
                <w:ilvl w:val="0"/>
                <w:numId w:val="0"/>
              </w:numPr>
              <w:shd w:val="clear"/>
              <w:snapToGrid w:val="0"/>
              <w:spacing w:line="360" w:lineRule="auto"/>
              <w:ind w:firstLine="482"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石梅湾</w:t>
            </w:r>
            <w:r>
              <w:rPr>
                <w:rFonts w:hint="eastAsia" w:ascii="仿宋_GB2312" w:hAnsi="仿宋_GB2312" w:eastAsia="仿宋_GB2312" w:cs="仿宋_GB2312"/>
                <w:color w:val="auto"/>
                <w:kern w:val="2"/>
                <w:sz w:val="24"/>
                <w:szCs w:val="24"/>
                <w:highlight w:val="none"/>
                <w:lang w:val="en-US" w:eastAsia="zh-CN" w:bidi="ar-SA"/>
              </w:rPr>
              <w:t>：重点发展滨海度假</w:t>
            </w:r>
            <w:r>
              <w:rPr>
                <w:rFonts w:hint="eastAsia" w:cs="仿宋_GB2312"/>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游艇休闲、高端会议等业态，提质升级石梅湾国家级旅游度假区，打造万宁旅游消费核心增长极与对外展示窗口。</w:t>
            </w:r>
          </w:p>
          <w:p w14:paraId="67DA5AB2">
            <w:pPr>
              <w:widowControl w:val="0"/>
              <w:numPr>
                <w:ilvl w:val="0"/>
                <w:numId w:val="0"/>
              </w:numPr>
              <w:shd w:val="clear"/>
              <w:snapToGrid w:val="0"/>
              <w:spacing w:line="360" w:lineRule="auto"/>
              <w:ind w:firstLine="482" w:firstLineChars="200"/>
              <w:jc w:val="both"/>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南燕湾：</w:t>
            </w:r>
            <w:r>
              <w:rPr>
                <w:rFonts w:hint="eastAsia" w:ascii="仿宋_GB2312" w:hAnsi="仿宋_GB2312" w:eastAsia="仿宋_GB2312" w:cs="仿宋_GB2312"/>
                <w:color w:val="auto"/>
                <w:kern w:val="2"/>
                <w:sz w:val="24"/>
                <w:szCs w:val="24"/>
                <w:highlight w:val="none"/>
                <w:lang w:val="en-US" w:eastAsia="zh-CN" w:bidi="ar-SA"/>
              </w:rPr>
              <w:t>发展悬崖酒店、精品民宿、私享餐厅、海岛婚礼等业态，打造小众高端私密度假</w:t>
            </w:r>
            <w:r>
              <w:rPr>
                <w:rFonts w:hint="eastAsia" w:cs="仿宋_GB2312"/>
                <w:color w:val="auto"/>
                <w:kern w:val="2"/>
                <w:sz w:val="24"/>
                <w:szCs w:val="24"/>
                <w:highlight w:val="none"/>
                <w:lang w:val="en-US" w:eastAsia="zh-CN" w:bidi="ar-SA"/>
              </w:rPr>
              <w:t>目的地</w:t>
            </w:r>
            <w:r>
              <w:rPr>
                <w:rFonts w:hint="eastAsia" w:ascii="仿宋_GB2312" w:hAnsi="仿宋_GB2312" w:eastAsia="仿宋_GB2312" w:cs="仿宋_GB2312"/>
                <w:color w:val="auto"/>
                <w:kern w:val="2"/>
                <w:sz w:val="24"/>
                <w:szCs w:val="24"/>
                <w:highlight w:val="none"/>
                <w:lang w:val="en-US" w:eastAsia="zh-CN" w:bidi="ar-SA"/>
              </w:rPr>
              <w:t>。</w:t>
            </w:r>
          </w:p>
          <w:p w14:paraId="70D071C1">
            <w:pPr>
              <w:widowControl w:val="0"/>
              <w:numPr>
                <w:ilvl w:val="0"/>
                <w:numId w:val="0"/>
              </w:numPr>
              <w:shd w:val="clear"/>
              <w:snapToGrid w:val="0"/>
              <w:spacing w:line="360" w:lineRule="auto"/>
              <w:ind w:firstLine="482"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神州湾（神州半岛）</w:t>
            </w:r>
            <w:r>
              <w:rPr>
                <w:rFonts w:hint="eastAsia" w:ascii="仿宋_GB2312" w:hAnsi="仿宋_GB2312" w:eastAsia="仿宋_GB2312" w:cs="仿宋_GB2312"/>
                <w:color w:val="auto"/>
                <w:kern w:val="2"/>
                <w:sz w:val="24"/>
                <w:szCs w:val="24"/>
                <w:highlight w:val="none"/>
                <w:lang w:val="en-US" w:eastAsia="zh-CN" w:bidi="ar-SA"/>
              </w:rPr>
              <w:t>：重点发展家庭度假、滨海婚礼、商务会奖、水上运动等业态，打造全龄段一站式</w:t>
            </w:r>
            <w:r>
              <w:rPr>
                <w:rFonts w:hint="eastAsia" w:cs="仿宋_GB2312"/>
                <w:color w:val="auto"/>
                <w:kern w:val="2"/>
                <w:sz w:val="24"/>
                <w:szCs w:val="24"/>
                <w:highlight w:val="none"/>
                <w:lang w:val="en-US" w:eastAsia="zh-CN" w:bidi="ar-SA"/>
              </w:rPr>
              <w:t>滨海</w:t>
            </w:r>
            <w:r>
              <w:rPr>
                <w:rFonts w:hint="eastAsia" w:ascii="仿宋_GB2312" w:hAnsi="仿宋_GB2312" w:eastAsia="仿宋_GB2312" w:cs="仿宋_GB2312"/>
                <w:color w:val="auto"/>
                <w:kern w:val="2"/>
                <w:sz w:val="24"/>
                <w:szCs w:val="24"/>
                <w:highlight w:val="none"/>
                <w:lang w:val="en-US" w:eastAsia="zh-CN" w:bidi="ar-SA"/>
              </w:rPr>
              <w:t>度假目的地。</w:t>
            </w:r>
          </w:p>
          <w:p w14:paraId="35688527">
            <w:pPr>
              <w:widowControl w:val="0"/>
              <w:numPr>
                <w:ilvl w:val="0"/>
                <w:numId w:val="0"/>
              </w:numPr>
              <w:shd w:val="clear"/>
              <w:snapToGrid w:val="0"/>
              <w:spacing w:line="360" w:lineRule="auto"/>
              <w:ind w:firstLine="482"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新潭湾</w:t>
            </w:r>
            <w:r>
              <w:rPr>
                <w:rFonts w:hint="eastAsia" w:cs="仿宋_GB2312"/>
                <w:b/>
                <w:bCs/>
                <w:color w:val="auto"/>
                <w:kern w:val="2"/>
                <w:sz w:val="24"/>
                <w:szCs w:val="24"/>
                <w:highlight w:val="none"/>
                <w:lang w:val="en-US" w:eastAsia="zh-CN" w:bidi="ar-SA"/>
              </w:rPr>
              <w:t>（新群湾）</w:t>
            </w:r>
            <w:r>
              <w:rPr>
                <w:rFonts w:hint="eastAsia" w:ascii="仿宋_GB2312" w:hAnsi="仿宋_GB2312" w:eastAsia="仿宋_GB2312" w:cs="仿宋_GB2312"/>
                <w:b/>
                <w:bCs/>
                <w:color w:val="auto"/>
                <w:kern w:val="2"/>
                <w:sz w:val="24"/>
                <w:szCs w:val="24"/>
                <w:highlight w:val="none"/>
                <w:lang w:val="en-US" w:eastAsia="zh-CN" w:bidi="ar-SA"/>
              </w:rPr>
              <w:t>：</w:t>
            </w:r>
            <w:r>
              <w:rPr>
                <w:rFonts w:hint="eastAsia" w:cs="仿宋_GB2312"/>
                <w:b w:val="0"/>
                <w:bCs w:val="0"/>
                <w:color w:val="auto"/>
                <w:kern w:val="2"/>
                <w:sz w:val="24"/>
                <w:szCs w:val="24"/>
                <w:highlight w:val="none"/>
                <w:lang w:val="en-US" w:eastAsia="zh-CN" w:bidi="ar-SA"/>
              </w:rPr>
              <w:t>以“</w:t>
            </w:r>
            <w:r>
              <w:rPr>
                <w:rFonts w:hint="eastAsia" w:ascii="仿宋_GB2312" w:hAnsi="仿宋_GB2312" w:eastAsia="仿宋_GB2312" w:cs="仿宋_GB2312"/>
                <w:color w:val="auto"/>
                <w:kern w:val="2"/>
                <w:sz w:val="24"/>
                <w:szCs w:val="24"/>
                <w:highlight w:val="none"/>
                <w:lang w:val="en-US" w:eastAsia="zh-CN" w:bidi="ar-SA"/>
              </w:rPr>
              <w:t>小众、清净、原生、浪质优</w:t>
            </w:r>
            <w:r>
              <w:rPr>
                <w:rFonts w:hint="eastAsia" w:cs="仿宋_GB2312"/>
                <w:b w:val="0"/>
                <w:bCs w:val="0"/>
                <w:color w:val="auto"/>
                <w:kern w:val="2"/>
                <w:sz w:val="24"/>
                <w:szCs w:val="24"/>
                <w:highlight w:val="none"/>
                <w:lang w:val="en-US" w:eastAsia="zh-CN" w:bidi="ar-SA"/>
              </w:rPr>
              <w:t>”为</w:t>
            </w:r>
            <w:r>
              <w:rPr>
                <w:rFonts w:hint="eastAsia" w:ascii="仿宋_GB2312" w:hAnsi="仿宋_GB2312" w:eastAsia="仿宋_GB2312" w:cs="仿宋_GB2312"/>
                <w:color w:val="auto"/>
                <w:kern w:val="2"/>
                <w:sz w:val="24"/>
                <w:szCs w:val="24"/>
                <w:highlight w:val="none"/>
                <w:lang w:val="en-US" w:eastAsia="zh-CN" w:bidi="ar-SA"/>
              </w:rPr>
              <w:t>核心卖点</w:t>
            </w:r>
            <w:r>
              <w:rPr>
                <w:rFonts w:hint="eastAsia" w:cs="仿宋_GB2312"/>
                <w:color w:val="auto"/>
                <w:kern w:val="2"/>
                <w:sz w:val="24"/>
                <w:szCs w:val="24"/>
                <w:highlight w:val="none"/>
                <w:lang w:val="en-US" w:eastAsia="zh-CN" w:bidi="ar-SA"/>
              </w:rPr>
              <w:t>，区别于</w:t>
            </w:r>
            <w:r>
              <w:rPr>
                <w:rFonts w:hint="eastAsia" w:ascii="仿宋_GB2312" w:hAnsi="仿宋_GB2312" w:eastAsia="仿宋_GB2312" w:cs="仿宋_GB2312"/>
                <w:color w:val="auto"/>
                <w:kern w:val="2"/>
                <w:sz w:val="24"/>
                <w:szCs w:val="24"/>
                <w:highlight w:val="none"/>
                <w:lang w:val="en-US" w:eastAsia="zh-CN" w:bidi="ar-SA"/>
              </w:rPr>
              <w:t>日月湾</w:t>
            </w:r>
            <w:r>
              <w:rPr>
                <w:rFonts w:hint="eastAsia" w:cs="仿宋_GB2312"/>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大众新手冲浪、年轻潮玩聚集地</w:t>
            </w:r>
            <w:r>
              <w:rPr>
                <w:rFonts w:hint="eastAsia" w:cs="仿宋_GB2312"/>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主打小而美、高粘性、高客单价的细分客群</w:t>
            </w:r>
            <w:r>
              <w:rPr>
                <w:rFonts w:hint="eastAsia" w:cs="仿宋_GB2312"/>
                <w:color w:val="auto"/>
                <w:kern w:val="2"/>
                <w:sz w:val="24"/>
                <w:szCs w:val="24"/>
                <w:highlight w:val="none"/>
                <w:lang w:val="en-US" w:eastAsia="zh-CN" w:bidi="ar-SA"/>
              </w:rPr>
              <w:t>，打造</w:t>
            </w:r>
            <w:r>
              <w:rPr>
                <w:rFonts w:hint="eastAsia" w:ascii="仿宋_GB2312" w:hAnsi="仿宋_GB2312" w:eastAsia="仿宋_GB2312" w:cs="仿宋_GB2312"/>
                <w:color w:val="auto"/>
                <w:kern w:val="2"/>
                <w:sz w:val="24"/>
                <w:szCs w:val="24"/>
                <w:highlight w:val="none"/>
                <w:lang w:val="en-US" w:eastAsia="zh-CN" w:bidi="ar-SA"/>
              </w:rPr>
              <w:t>中国专业进阶冲浪首选地</w:t>
            </w:r>
            <w:r>
              <w:rPr>
                <w:rFonts w:hint="eastAsia" w:cs="仿宋_GB2312"/>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原生渔村小众微度假目的地</w:t>
            </w:r>
            <w:r>
              <w:rPr>
                <w:rFonts w:hint="eastAsia" w:cs="仿宋_GB2312"/>
                <w:color w:val="auto"/>
                <w:kern w:val="2"/>
                <w:sz w:val="24"/>
                <w:szCs w:val="24"/>
                <w:highlight w:val="none"/>
                <w:lang w:val="en-US" w:eastAsia="zh-CN" w:bidi="ar-SA"/>
              </w:rPr>
              <w:t>。</w:t>
            </w:r>
          </w:p>
          <w:p w14:paraId="060D3151">
            <w:pPr>
              <w:widowControl w:val="0"/>
              <w:numPr>
                <w:ilvl w:val="0"/>
                <w:numId w:val="0"/>
              </w:numPr>
              <w:shd w:val="clear"/>
              <w:snapToGrid w:val="0"/>
              <w:spacing w:line="360" w:lineRule="auto"/>
              <w:ind w:firstLine="482"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春园湾：</w:t>
            </w:r>
            <w:r>
              <w:rPr>
                <w:rFonts w:hint="eastAsia" w:ascii="仿宋_GB2312" w:hAnsi="仿宋_GB2312" w:eastAsia="仿宋_GB2312" w:cs="仿宋_GB2312"/>
                <w:color w:val="auto"/>
                <w:kern w:val="2"/>
                <w:sz w:val="24"/>
                <w:szCs w:val="24"/>
                <w:highlight w:val="none"/>
                <w:lang w:val="en-US" w:eastAsia="zh-CN" w:bidi="ar-SA"/>
              </w:rPr>
              <w:t>重点发展亲子沙滩游乐、滨海露营、浅滩赶海等业态，配套建设亲子游乐设施、户外研学基地，打造短途</w:t>
            </w:r>
            <w:r>
              <w:rPr>
                <w:rFonts w:hint="eastAsia" w:cs="仿宋_GB2312"/>
                <w:color w:val="auto"/>
                <w:kern w:val="2"/>
                <w:sz w:val="24"/>
                <w:szCs w:val="24"/>
                <w:highlight w:val="none"/>
                <w:lang w:val="en-US" w:eastAsia="zh-CN" w:bidi="ar-SA"/>
              </w:rPr>
              <w:t>近邻</w:t>
            </w:r>
            <w:r>
              <w:rPr>
                <w:rFonts w:hint="eastAsia" w:ascii="仿宋_GB2312" w:hAnsi="仿宋_GB2312" w:eastAsia="仿宋_GB2312" w:cs="仿宋_GB2312"/>
                <w:color w:val="auto"/>
                <w:kern w:val="2"/>
                <w:sz w:val="24"/>
                <w:szCs w:val="24"/>
                <w:highlight w:val="none"/>
                <w:lang w:val="en-US" w:eastAsia="zh-CN" w:bidi="ar-SA"/>
              </w:rPr>
              <w:t>家庭游首选</w:t>
            </w:r>
            <w:r>
              <w:rPr>
                <w:rFonts w:hint="eastAsia" w:cs="仿宋_GB2312"/>
                <w:color w:val="auto"/>
                <w:kern w:val="2"/>
                <w:sz w:val="24"/>
                <w:szCs w:val="24"/>
                <w:highlight w:val="none"/>
                <w:lang w:val="en-US" w:eastAsia="zh-CN" w:bidi="ar-SA"/>
              </w:rPr>
              <w:t>目的</w:t>
            </w:r>
            <w:r>
              <w:rPr>
                <w:rFonts w:hint="eastAsia" w:ascii="仿宋_GB2312" w:hAnsi="仿宋_GB2312" w:eastAsia="仿宋_GB2312" w:cs="仿宋_GB2312"/>
                <w:color w:val="auto"/>
                <w:kern w:val="2"/>
                <w:sz w:val="24"/>
                <w:szCs w:val="24"/>
                <w:highlight w:val="none"/>
                <w:lang w:val="en-US" w:eastAsia="zh-CN" w:bidi="ar-SA"/>
              </w:rPr>
              <w:t>地。</w:t>
            </w:r>
          </w:p>
          <w:p w14:paraId="6ADF8C6B">
            <w:pPr>
              <w:widowControl w:val="0"/>
              <w:numPr>
                <w:ilvl w:val="0"/>
                <w:numId w:val="0"/>
              </w:numPr>
              <w:shd w:val="clear"/>
              <w:snapToGrid w:val="0"/>
              <w:spacing w:line="360" w:lineRule="auto"/>
              <w:ind w:firstLine="482" w:firstLineChars="200"/>
              <w:jc w:val="both"/>
              <w:rPr>
                <w:rFonts w:hint="eastAsia" w:cs="仿宋_GB2312"/>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山根湾：</w:t>
            </w:r>
            <w:r>
              <w:rPr>
                <w:rFonts w:hint="eastAsia" w:cs="仿宋_GB2312"/>
                <w:color w:val="auto"/>
                <w:kern w:val="2"/>
                <w:sz w:val="24"/>
                <w:szCs w:val="24"/>
                <w:highlight w:val="none"/>
                <w:lang w:val="en-US" w:eastAsia="zh-CN" w:bidi="ar-SA"/>
              </w:rPr>
              <w:t>联动周边热带农业种植基地、东兴斑养殖基地，开发滨海民宿、田园采摘、滨海露营等特色产品，打造渔旅融合发展示范样板。</w:t>
            </w:r>
          </w:p>
          <w:p w14:paraId="59128D96">
            <w:pPr>
              <w:widowControl w:val="0"/>
              <w:numPr>
                <w:ilvl w:val="0"/>
                <w:numId w:val="0"/>
              </w:numPr>
              <w:shd w:val="clear"/>
              <w:snapToGrid w:val="0"/>
              <w:spacing w:line="360" w:lineRule="auto"/>
              <w:ind w:firstLine="482" w:firstLineChars="200"/>
              <w:jc w:val="both"/>
              <w:rPr>
                <w:rFonts w:hint="eastAsia" w:cs="仿宋_GB2312"/>
                <w:b/>
                <w:bCs/>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山钦湾：</w:t>
            </w:r>
            <w:r>
              <w:rPr>
                <w:rFonts w:hint="eastAsia" w:cs="仿宋_GB2312"/>
                <w:b w:val="0"/>
                <w:bCs w:val="0"/>
                <w:color w:val="auto"/>
                <w:kern w:val="2"/>
                <w:sz w:val="24"/>
                <w:szCs w:val="24"/>
                <w:highlight w:val="none"/>
                <w:lang w:val="en-US" w:eastAsia="zh-CN" w:bidi="ar-SA"/>
              </w:rPr>
              <w:t>以燕子洞、黑礁石、正门岭大桥等网红打卡点为核心，发展旅拍婚摄、海边婚礼、户外徒步、滑翔伞等特色旅游项目，结合环岛旅游公路，串联周边资源，打造“山钦湾爱情海岸”等特色旅游品牌。</w:t>
            </w:r>
          </w:p>
          <w:p w14:paraId="55A72846">
            <w:pPr>
              <w:widowControl w:val="0"/>
              <w:numPr>
                <w:ilvl w:val="0"/>
                <w:numId w:val="0"/>
              </w:numPr>
              <w:shd w:val="clear"/>
              <w:snapToGrid w:val="0"/>
              <w:spacing w:line="360" w:lineRule="auto"/>
              <w:ind w:firstLine="482" w:firstLineChars="200"/>
              <w:jc w:val="both"/>
              <w:rPr>
                <w:rFonts w:hint="default" w:cs="仿宋_GB2312"/>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2.滨海旅游系列产品：</w:t>
            </w:r>
          </w:p>
          <w:p w14:paraId="75D1FA6D">
            <w:pPr>
              <w:widowControl w:val="0"/>
              <w:numPr>
                <w:ilvl w:val="0"/>
                <w:numId w:val="0"/>
              </w:numPr>
              <w:shd w:val="clear"/>
              <w:snapToGrid w:val="0"/>
              <w:spacing w:line="360" w:lineRule="auto"/>
              <w:ind w:firstLine="482" w:firstLineChars="200"/>
              <w:jc w:val="both"/>
              <w:rPr>
                <w:rFonts w:hint="eastAsia" w:cs="仿宋_GB2312"/>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游艇旅游产品：</w:t>
            </w:r>
            <w:r>
              <w:rPr>
                <w:rFonts w:hint="eastAsia" w:cs="仿宋_GB2312"/>
                <w:color w:val="auto"/>
                <w:kern w:val="2"/>
                <w:sz w:val="24"/>
                <w:szCs w:val="24"/>
                <w:highlight w:val="none"/>
                <w:lang w:val="en-US" w:eastAsia="zh-CN" w:bidi="ar-SA"/>
              </w:rPr>
              <w:t>游艇码头（石梅湾、日月湾、老爷海、神州半岛等区域）、豪华游艇包船、主题游艇派对、海钓、潜水观光等。</w:t>
            </w:r>
          </w:p>
          <w:p w14:paraId="7520191F">
            <w:pPr>
              <w:widowControl w:val="0"/>
              <w:numPr>
                <w:ilvl w:val="0"/>
                <w:numId w:val="0"/>
              </w:numPr>
              <w:shd w:val="clear"/>
              <w:snapToGrid w:val="0"/>
              <w:spacing w:line="360" w:lineRule="auto"/>
              <w:ind w:firstLine="482" w:firstLineChars="200"/>
              <w:jc w:val="both"/>
              <w:rPr>
                <w:rFonts w:hint="eastAsia" w:cs="仿宋_GB2312"/>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滨海观光产品</w:t>
            </w:r>
            <w:r>
              <w:rPr>
                <w:rFonts w:hint="eastAsia" w:cs="仿宋_GB2312"/>
                <w:color w:val="auto"/>
                <w:kern w:val="2"/>
                <w:sz w:val="24"/>
                <w:szCs w:val="24"/>
                <w:highlight w:val="none"/>
                <w:lang w:val="en-US" w:eastAsia="zh-CN" w:bidi="ar-SA"/>
              </w:rPr>
              <w:t>：海滩派对、海鲜美食、海上飞行体验、沙滩俱乐部、山海观光栈道、海底漫步、浮潜水下观光、海岛生物观赏等。</w:t>
            </w:r>
          </w:p>
          <w:p w14:paraId="6BDFD199">
            <w:pPr>
              <w:widowControl w:val="0"/>
              <w:numPr>
                <w:ilvl w:val="0"/>
                <w:numId w:val="0"/>
              </w:numPr>
              <w:shd w:val="clear"/>
              <w:snapToGrid w:val="0"/>
              <w:spacing w:line="360" w:lineRule="auto"/>
              <w:ind w:firstLine="482" w:firstLineChars="200"/>
              <w:jc w:val="both"/>
              <w:rPr>
                <w:rFonts w:hint="default" w:cs="仿宋_GB2312"/>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滨海</w:t>
            </w:r>
            <w:r>
              <w:rPr>
                <w:rFonts w:hint="default" w:cs="仿宋_GB2312"/>
                <w:b/>
                <w:bCs/>
                <w:color w:val="auto"/>
                <w:kern w:val="2"/>
                <w:sz w:val="24"/>
                <w:szCs w:val="24"/>
                <w:highlight w:val="none"/>
                <w:lang w:val="en-US" w:eastAsia="zh-CN" w:bidi="ar-SA"/>
              </w:rPr>
              <w:t>度假产品：</w:t>
            </w:r>
            <w:r>
              <w:rPr>
                <w:rFonts w:hint="default" w:cs="仿宋_GB2312"/>
                <w:color w:val="auto"/>
                <w:kern w:val="2"/>
                <w:sz w:val="24"/>
                <w:szCs w:val="24"/>
                <w:highlight w:val="none"/>
                <w:lang w:val="en-US" w:eastAsia="zh-CN" w:bidi="ar-SA"/>
              </w:rPr>
              <w:t>石梅湾旅游度假区、万宁日月湾“雪与浪”国际海岸度假区、神州半岛旅游度假区、老爷海国家公园、龙滚镇滨海文旅片区融合发展项目等。</w:t>
            </w:r>
          </w:p>
          <w:p w14:paraId="6617CF6F">
            <w:pPr>
              <w:widowControl w:val="0"/>
              <w:numPr>
                <w:ilvl w:val="0"/>
                <w:numId w:val="0"/>
              </w:numPr>
              <w:shd w:val="clear"/>
              <w:snapToGrid w:val="0"/>
              <w:spacing w:line="360" w:lineRule="auto"/>
              <w:ind w:firstLine="482" w:firstLineChars="200"/>
              <w:jc w:val="both"/>
              <w:rPr>
                <w:rFonts w:hint="eastAsia" w:cs="仿宋_GB2312"/>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滨海运动产品：</w:t>
            </w:r>
            <w:r>
              <w:rPr>
                <w:rFonts w:hint="eastAsia" w:cs="仿宋_GB2312"/>
                <w:color w:val="auto"/>
                <w:kern w:val="2"/>
                <w:sz w:val="24"/>
                <w:szCs w:val="24"/>
                <w:highlight w:val="none"/>
                <w:lang w:val="en-US" w:eastAsia="zh-CN" w:bidi="ar-SA"/>
              </w:rPr>
              <w:t>冲浪、海钓、水上摩托、游泳、潜水、帆船、桨板、皮划艇、海上拖曳伞、海上飞板、滑水、风浪板、高空跳伞等。</w:t>
            </w:r>
          </w:p>
          <w:p w14:paraId="42418919">
            <w:pPr>
              <w:widowControl w:val="0"/>
              <w:numPr>
                <w:ilvl w:val="0"/>
                <w:numId w:val="0"/>
              </w:numPr>
              <w:shd w:val="clear"/>
              <w:snapToGrid w:val="0"/>
              <w:spacing w:line="360" w:lineRule="auto"/>
              <w:ind w:firstLine="482" w:firstLineChars="200"/>
              <w:jc w:val="both"/>
              <w:rPr>
                <w:rFonts w:hint="default" w:cs="仿宋_GB2312"/>
                <w:color w:val="auto"/>
                <w:kern w:val="2"/>
                <w:sz w:val="24"/>
                <w:szCs w:val="24"/>
                <w:highlight w:val="none"/>
                <w:lang w:val="en-US" w:eastAsia="zh-CN" w:bidi="ar-SA"/>
              </w:rPr>
            </w:pPr>
            <w:r>
              <w:rPr>
                <w:rFonts w:hint="default" w:cs="仿宋_GB2312"/>
                <w:b/>
                <w:bCs/>
                <w:color w:val="auto"/>
                <w:kern w:val="2"/>
                <w:sz w:val="24"/>
                <w:szCs w:val="24"/>
                <w:highlight w:val="none"/>
                <w:lang w:val="en-US" w:eastAsia="zh-CN" w:bidi="ar-SA"/>
              </w:rPr>
              <w:t>海岛特色旅游：</w:t>
            </w:r>
            <w:r>
              <w:rPr>
                <w:rFonts w:hint="eastAsia" w:cs="仿宋_GB2312"/>
                <w:color w:val="auto"/>
                <w:kern w:val="2"/>
                <w:sz w:val="24"/>
                <w:szCs w:val="24"/>
                <w:highlight w:val="none"/>
                <w:lang w:val="en-US" w:eastAsia="zh-CN" w:bidi="ar-SA"/>
              </w:rPr>
              <w:t>加井岛、洲仔岛等。</w:t>
            </w:r>
          </w:p>
        </w:tc>
      </w:tr>
    </w:tbl>
    <w:p w14:paraId="55D31492">
      <w:pPr>
        <w:pStyle w:val="4"/>
        <w:shd w:val="clear"/>
        <w:ind w:firstLine="479"/>
        <w:rPr>
          <w:rFonts w:hint="eastAsia"/>
          <w:color w:val="auto"/>
          <w:highlight w:val="none"/>
          <w:lang w:val="en-US" w:eastAsia="zh-CN"/>
        </w:rPr>
      </w:pPr>
      <w:r>
        <w:rPr>
          <w:rFonts w:hint="eastAsia"/>
          <w:color w:val="auto"/>
          <w:highlight w:val="none"/>
          <w:lang w:val="en-US" w:eastAsia="zh-CN"/>
        </w:rPr>
        <w:t>（二）体育旅游产品</w:t>
      </w:r>
    </w:p>
    <w:p w14:paraId="300ADBA8">
      <w:pPr>
        <w:rPr>
          <w:rFonts w:hint="eastAsia" w:ascii="仿宋_GB2312" w:hAnsi="仿宋_GB2312" w:eastAsia="仿宋_GB2312" w:cs="Times New Roman"/>
          <w:sz w:val="32"/>
          <w:szCs w:val="24"/>
        </w:rPr>
      </w:pPr>
      <w:r>
        <w:rPr>
          <w:rFonts w:hint="eastAsia" w:ascii="仿宋_GB2312" w:hAnsi="仿宋_GB2312" w:eastAsia="仿宋_GB2312" w:cs="Times New Roman"/>
          <w:sz w:val="32"/>
          <w:szCs w:val="24"/>
        </w:rPr>
        <w:t>坚持</w:t>
      </w:r>
      <w:r>
        <w:rPr>
          <w:rFonts w:hint="eastAsia" w:cs="Times New Roman"/>
          <w:sz w:val="32"/>
          <w:szCs w:val="24"/>
          <w:lang w:eastAsia="zh-CN"/>
        </w:rPr>
        <w:t>“</w:t>
      </w:r>
      <w:r>
        <w:rPr>
          <w:rStyle w:val="15"/>
          <w:rFonts w:hint="eastAsia" w:ascii="仿宋_GB2312" w:hAnsi="仿宋_GB2312" w:eastAsia="仿宋_GB2312" w:cs="Times New Roman"/>
          <w:b w:val="0"/>
          <w:bCs w:val="0"/>
          <w:color w:val="1F2329"/>
          <w:sz w:val="32"/>
          <w:szCs w:val="24"/>
        </w:rPr>
        <w:t>冲浪领航、多业支撑、全域联动</w:t>
      </w:r>
      <w:r>
        <w:rPr>
          <w:rFonts w:hint="eastAsia" w:cs="Times New Roman"/>
          <w:b w:val="0"/>
          <w:bCs w:val="0"/>
          <w:sz w:val="32"/>
          <w:szCs w:val="24"/>
          <w:lang w:eastAsia="zh-CN"/>
        </w:rPr>
        <w:t>”</w:t>
      </w:r>
      <w:r>
        <w:rPr>
          <w:rFonts w:hint="eastAsia" w:ascii="仿宋_GB2312" w:hAnsi="仿宋_GB2312" w:eastAsia="仿宋_GB2312" w:cs="Times New Roman"/>
          <w:sz w:val="32"/>
          <w:szCs w:val="24"/>
        </w:rPr>
        <w:t>发展思路，以体育产业为核心引擎，全力打造国际冲浪胜地与新兴海上运动旅游目的地。充分依托万宁优质海浪资源与成熟冲浪品牌优势，以日月湾为核心载体，积极申办国际国内等高水平冲浪赛事，延伸冲浪培训、装备研发、赛事运营等高附加值产业链，以创建国家级旅游度假区和省级旅游度假区为抓手</w:t>
      </w:r>
      <w:r>
        <w:rPr>
          <w:rFonts w:hint="eastAsia" w:cs="Times New Roman"/>
          <w:sz w:val="32"/>
          <w:szCs w:val="24"/>
          <w:lang w:eastAsia="zh-CN"/>
        </w:rPr>
        <w:t>，</w:t>
      </w:r>
      <w:r>
        <w:rPr>
          <w:rFonts w:hint="eastAsia" w:ascii="仿宋_GB2312" w:hAnsi="仿宋_GB2312" w:eastAsia="仿宋_GB2312" w:cs="Times New Roman"/>
          <w:sz w:val="32"/>
          <w:szCs w:val="24"/>
        </w:rPr>
        <w:t>打造万宁标志性体旅名片。</w:t>
      </w:r>
    </w:p>
    <w:p w14:paraId="5F552D7C">
      <w:pPr>
        <w:rPr>
          <w:rFonts w:hint="eastAsia" w:ascii="仿宋_GB2312" w:hAnsi="仿宋_GB2312" w:eastAsia="仿宋_GB2312" w:cs="Times New Roman"/>
          <w:sz w:val="32"/>
          <w:szCs w:val="24"/>
        </w:rPr>
      </w:pPr>
      <w:r>
        <w:rPr>
          <w:rFonts w:hint="eastAsia"/>
          <w:lang w:val="en-US" w:eastAsia="zh-CN"/>
        </w:rPr>
        <w:t>依托“一中心三基地”</w:t>
      </w:r>
      <w:r>
        <w:rPr>
          <w:rStyle w:val="18"/>
          <w:rFonts w:hint="eastAsia" w:ascii="宋体" w:hAnsi="宋体" w:eastAsia="宋体" w:cs="宋体"/>
          <w:bCs/>
          <w:color w:val="auto"/>
          <w:sz w:val="24"/>
          <w:highlight w:val="none"/>
        </w:rPr>
        <w:t>[</w:t>
      </w:r>
      <w:r>
        <w:rPr>
          <w:rStyle w:val="18"/>
          <w:rFonts w:hint="eastAsia" w:ascii="宋体" w:hAnsi="宋体" w:eastAsia="宋体" w:cs="宋体"/>
          <w:bCs/>
          <w:color w:val="auto"/>
          <w:sz w:val="24"/>
          <w:highlight w:val="none"/>
        </w:rPr>
        <w:footnoteReference w:id="1"/>
      </w:r>
      <w:r>
        <w:rPr>
          <w:rStyle w:val="18"/>
          <w:rFonts w:hint="eastAsia" w:ascii="宋体" w:hAnsi="宋体" w:eastAsia="宋体" w:cs="宋体"/>
          <w:bCs/>
          <w:color w:val="auto"/>
          <w:sz w:val="24"/>
          <w:highlight w:val="none"/>
        </w:rPr>
        <w:t>]</w:t>
      </w:r>
      <w:r>
        <w:rPr>
          <w:rFonts w:hint="eastAsia"/>
          <w:lang w:val="en-US" w:eastAsia="zh-CN"/>
        </w:rPr>
        <w:t>布局，打造水上运动、潮玩运动、特色体育三大体育旅游产品集群。形成日月湾重点发展冲浪、石梅湾重点发展潜水、神州半岛重点发展摩托艇的“一湾一品”差异化格局；积极布局低空飞行、跳伞、滑翔伞、山地骑行、户外徒步等“海陆空”新潮体验项目，满足年轻客群多元化消费需求；活化利用“全国武术之乡”“侨乡”特色资源，持续办好马拉松赛、龙舟赛、武术等体育赛事活动，积极参加琼超、村VA等群众体育赛事，持续做大全民健身体育消费市场</w:t>
      </w:r>
      <w:r>
        <w:rPr>
          <w:rFonts w:hint="eastAsia" w:ascii="仿宋_GB2312" w:hAnsi="仿宋_GB2312" w:eastAsia="仿宋_GB2312" w:cs="Times New Roman"/>
          <w:sz w:val="32"/>
          <w:szCs w:val="24"/>
        </w:rPr>
        <w:t>。</w:t>
      </w:r>
    </w:p>
    <w:p w14:paraId="74EF1366">
      <w:pPr>
        <w:rPr>
          <w:rFonts w:hint="eastAsia"/>
          <w:lang w:val="en-US" w:eastAsia="zh-CN"/>
        </w:rPr>
      </w:pPr>
      <w:r>
        <w:rPr>
          <w:rFonts w:hint="eastAsia"/>
          <w:lang w:val="en-US" w:eastAsia="zh-CN"/>
        </w:rPr>
        <w:t>打造“跟着赛事游万宁”特色品牌，推动赛事活动“进景区、进街区、进商圈”，设计“观赛+游览”一体化精品线路，联动本地酒店、景区推出优惠套餐，实现体育“流量”向旅游“留量”高效转化。</w:t>
      </w: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3B40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8342" w:type="dxa"/>
            <w:tcMar>
              <w:top w:w="0" w:type="dxa"/>
              <w:left w:w="108" w:type="dxa"/>
              <w:bottom w:w="0" w:type="dxa"/>
              <w:right w:w="108" w:type="dxa"/>
            </w:tcMar>
            <w:vAlign w:val="center"/>
          </w:tcPr>
          <w:p w14:paraId="4E5AAC8F">
            <w:pPr>
              <w:pStyle w:val="22"/>
              <w:shd w:val="clear"/>
              <w:snapToGrid w:val="0"/>
              <w:ind w:left="425" w:hanging="425"/>
              <w:rPr>
                <w:rFonts w:hint="default"/>
                <w:color w:val="auto"/>
                <w:highlight w:val="none"/>
              </w:rPr>
            </w:pPr>
            <w:r>
              <w:rPr>
                <w:rFonts w:hint="eastAsia"/>
                <w:color w:val="auto"/>
                <w:highlight w:val="none"/>
                <w:lang w:val="en-US" w:eastAsia="zh-CN"/>
              </w:rPr>
              <w:t xml:space="preserve"> 体育</w:t>
            </w:r>
            <w:r>
              <w:rPr>
                <w:color w:val="auto"/>
                <w:highlight w:val="none"/>
              </w:rPr>
              <w:t>旅游产品</w:t>
            </w:r>
          </w:p>
        </w:tc>
      </w:tr>
      <w:tr w14:paraId="039D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1C5B8E23">
            <w:pPr>
              <w:widowControl w:val="0"/>
              <w:numPr>
                <w:ilvl w:val="0"/>
                <w:numId w:val="0"/>
              </w:numPr>
              <w:shd w:val="clear"/>
              <w:snapToGrid w:val="0"/>
              <w:spacing w:line="360" w:lineRule="auto"/>
              <w:ind w:firstLine="482" w:firstLineChars="200"/>
              <w:jc w:val="both"/>
              <w:rPr>
                <w:rFonts w:hint="default"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w:t>
            </w:r>
            <w:r>
              <w:rPr>
                <w:rFonts w:hint="eastAsia" w:cs="仿宋_GB2312"/>
                <w:b/>
                <w:bCs/>
                <w:color w:val="auto"/>
                <w:kern w:val="2"/>
                <w:sz w:val="24"/>
                <w:szCs w:val="24"/>
                <w:highlight w:val="none"/>
                <w:lang w:val="en-US" w:eastAsia="zh-CN" w:bidi="ar-SA"/>
              </w:rPr>
              <w:t>水上运动旅游项目</w:t>
            </w:r>
            <w:r>
              <w:rPr>
                <w:rFonts w:hint="eastAsia" w:ascii="仿宋_GB2312" w:hAnsi="仿宋_GB2312" w:eastAsia="仿宋_GB2312" w:cs="仿宋_GB2312"/>
                <w:b/>
                <w:bCs/>
                <w:color w:val="auto"/>
                <w:kern w:val="2"/>
                <w:sz w:val="24"/>
                <w:szCs w:val="24"/>
                <w:highlight w:val="none"/>
                <w:lang w:val="en-US" w:eastAsia="zh-CN" w:bidi="ar-SA"/>
              </w:rPr>
              <w:t>：</w:t>
            </w:r>
            <w:r>
              <w:rPr>
                <w:rFonts w:hint="eastAsia" w:cs="仿宋_GB2312"/>
                <w:color w:val="auto"/>
                <w:sz w:val="24"/>
                <w:highlight w:val="none"/>
              </w:rPr>
              <w:t>日月湾国家冲浪基地、神州半岛国家摩托艇南方训练基地、石梅湾国家潜水南方训练基地、和乐龙舟小镇、中旅逐浪度假区</w:t>
            </w:r>
            <w:r>
              <w:rPr>
                <w:rFonts w:hint="eastAsia" w:cs="仿宋_GB2312"/>
                <w:b w:val="0"/>
                <w:bCs w:val="0"/>
                <w:color w:val="auto"/>
                <w:kern w:val="2"/>
                <w:sz w:val="24"/>
                <w:szCs w:val="24"/>
                <w:highlight w:val="none"/>
                <w:lang w:val="en-US" w:eastAsia="zh-CN" w:bidi="ar-SA"/>
              </w:rPr>
              <w:t>等。</w:t>
            </w:r>
          </w:p>
          <w:p w14:paraId="4F9F6151">
            <w:pPr>
              <w:widowControl w:val="0"/>
              <w:numPr>
                <w:ilvl w:val="0"/>
                <w:numId w:val="0"/>
              </w:numPr>
              <w:shd w:val="clear"/>
              <w:snapToGrid w:val="0"/>
              <w:spacing w:line="360" w:lineRule="auto"/>
              <w:ind w:firstLine="482" w:firstLineChars="200"/>
              <w:jc w:val="both"/>
              <w:rPr>
                <w:rFonts w:hint="eastAsia" w:cs="仿宋_GB2312"/>
                <w:b w:val="0"/>
                <w:bCs w:val="0"/>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2.潮玩运动旅游项目</w:t>
            </w:r>
            <w:r>
              <w:rPr>
                <w:rFonts w:hint="eastAsia" w:ascii="仿宋_GB2312" w:hAnsi="仿宋_GB2312" w:eastAsia="仿宋_GB2312" w:cs="仿宋_GB2312"/>
                <w:b/>
                <w:bCs/>
                <w:color w:val="auto"/>
                <w:kern w:val="2"/>
                <w:sz w:val="24"/>
                <w:szCs w:val="24"/>
                <w:highlight w:val="none"/>
                <w:lang w:val="en-US" w:eastAsia="zh-CN" w:bidi="ar-SA"/>
              </w:rPr>
              <w:t>：</w:t>
            </w:r>
            <w:r>
              <w:rPr>
                <w:rFonts w:hint="eastAsia" w:ascii="仿宋_GB2312" w:hAnsi="仿宋_GB2312" w:eastAsia="仿宋_GB2312" w:cs="仿宋_GB2312"/>
                <w:b w:val="0"/>
                <w:bCs w:val="0"/>
                <w:color w:val="auto"/>
                <w:kern w:val="2"/>
                <w:sz w:val="24"/>
                <w:szCs w:val="24"/>
                <w:highlight w:val="none"/>
                <w:lang w:val="en-US" w:eastAsia="zh-CN" w:bidi="ar-SA"/>
              </w:rPr>
              <w:t>517自行车主题公园</w:t>
            </w:r>
            <w:r>
              <w:rPr>
                <w:rFonts w:hint="eastAsia" w:cs="仿宋_GB2312"/>
                <w:b w:val="0"/>
                <w:bCs w:val="0"/>
                <w:color w:val="auto"/>
                <w:kern w:val="2"/>
                <w:sz w:val="24"/>
                <w:szCs w:val="24"/>
                <w:highlight w:val="none"/>
                <w:lang w:val="en-US" w:eastAsia="zh-CN" w:bidi="ar-SA"/>
              </w:rPr>
              <w:t>、正门岭海崖滑翔营地等。</w:t>
            </w:r>
          </w:p>
          <w:p w14:paraId="0E733DFC">
            <w:pPr>
              <w:widowControl w:val="0"/>
              <w:numPr>
                <w:ilvl w:val="0"/>
                <w:numId w:val="0"/>
              </w:numPr>
              <w:shd w:val="clear"/>
              <w:snapToGrid w:val="0"/>
              <w:spacing w:line="360" w:lineRule="auto"/>
              <w:ind w:firstLine="482" w:firstLineChars="200"/>
              <w:jc w:val="both"/>
              <w:rPr>
                <w:rFonts w:hint="default" w:cs="仿宋_GB2312"/>
                <w:b w:val="0"/>
                <w:bCs w:val="0"/>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3.休闲体育旅游项目</w:t>
            </w:r>
            <w:r>
              <w:rPr>
                <w:rFonts w:hint="eastAsia" w:ascii="仿宋_GB2312" w:hAnsi="仿宋_GB2312" w:eastAsia="仿宋_GB2312" w:cs="仿宋_GB2312"/>
                <w:b/>
                <w:bCs/>
                <w:color w:val="auto"/>
                <w:kern w:val="2"/>
                <w:sz w:val="24"/>
                <w:szCs w:val="24"/>
                <w:highlight w:val="none"/>
                <w:lang w:val="en-US" w:eastAsia="zh-CN" w:bidi="ar-SA"/>
              </w:rPr>
              <w:t>：</w:t>
            </w:r>
            <w:r>
              <w:rPr>
                <w:rFonts w:hint="eastAsia" w:ascii="仿宋_GB2312" w:hAnsi="仿宋_GB2312" w:eastAsia="仿宋_GB2312" w:cs="仿宋_GB2312"/>
                <w:b w:val="0"/>
                <w:bCs w:val="0"/>
                <w:color w:val="auto"/>
                <w:kern w:val="2"/>
                <w:sz w:val="24"/>
                <w:szCs w:val="24"/>
                <w:highlight w:val="none"/>
                <w:lang w:val="en-US" w:eastAsia="zh-CN" w:bidi="ar-SA"/>
              </w:rPr>
              <w:t>万宁市文化体育广场、仁里河体育公园</w:t>
            </w:r>
            <w:r>
              <w:rPr>
                <w:rFonts w:hint="eastAsia" w:cs="仿宋_GB2312"/>
                <w:b w:val="0"/>
                <w:bCs w:val="0"/>
                <w:color w:val="auto"/>
                <w:kern w:val="2"/>
                <w:sz w:val="24"/>
                <w:szCs w:val="24"/>
                <w:highlight w:val="none"/>
                <w:lang w:val="en-US" w:eastAsia="zh-CN" w:bidi="ar-SA"/>
              </w:rPr>
              <w:t>、山钦湾高尔夫球场等。</w:t>
            </w:r>
          </w:p>
        </w:tc>
      </w:tr>
    </w:tbl>
    <w:p w14:paraId="215DFCCF">
      <w:pPr>
        <w:pStyle w:val="4"/>
        <w:shd w:val="clear"/>
        <w:ind w:firstLine="479"/>
        <w:rPr>
          <w:rFonts w:hint="eastAsia"/>
          <w:color w:val="auto"/>
          <w:highlight w:val="none"/>
          <w:lang w:val="en-US" w:eastAsia="zh-CN"/>
        </w:rPr>
      </w:pPr>
      <w:r>
        <w:rPr>
          <w:rFonts w:hint="eastAsia"/>
          <w:color w:val="auto"/>
          <w:highlight w:val="none"/>
          <w:lang w:val="en-US" w:eastAsia="zh-CN"/>
        </w:rPr>
        <w:t>（三）侨咖旅游产品</w:t>
      </w:r>
    </w:p>
    <w:p w14:paraId="2AB2B8E8">
      <w:pPr>
        <w:rPr>
          <w:rFonts w:hint="eastAsia"/>
          <w:lang w:val="en-US" w:eastAsia="zh-CN"/>
        </w:rPr>
      </w:pPr>
      <w:r>
        <w:rPr>
          <w:rFonts w:hint="eastAsia"/>
          <w:lang w:val="en-US" w:eastAsia="zh-CN"/>
        </w:rPr>
        <w:t>整合归侨历史、咖啡技艺传承、南洋生活习俗等特色资源，构建“产业筑基、场景提质、品牌出圈”的侨韵咖乡发展体系。深化与中国热带农业科学院香料饮料研究所合作，推广良种繁育、高效栽培技术，扩大标准化精品咖啡种植基地规模；推动兴隆咖啡文化产业园、</w:t>
      </w:r>
      <w:r>
        <w:rPr>
          <w:rFonts w:hint="eastAsia"/>
          <w:color w:val="C00000"/>
          <w:highlight w:val="none"/>
          <w:lang w:val="en-US" w:eastAsia="zh-CN"/>
        </w:rPr>
        <w:t>巴厘村</w:t>
      </w:r>
      <w:r>
        <w:rPr>
          <w:rFonts w:hint="eastAsia"/>
          <w:lang w:val="en-US" w:eastAsia="zh-CN"/>
        </w:rPr>
        <w:t>创建国家4A级旅游景区，串联咖啡谷、小洋侨旅游区等核心节点，植入归侨生活场景体验，布局咖啡培训、非遗展示、南洋美食、风情演艺等业态，营造“一杯咖啡装下半部侨乡史”的沉浸式体验；在滨海区域打造</w:t>
      </w:r>
      <w:r>
        <w:rPr>
          <w:rFonts w:hint="eastAsia"/>
          <w:highlight w:val="none"/>
          <w:lang w:val="en-US" w:eastAsia="zh-CN"/>
        </w:rPr>
        <w:t>M1咖啡奇幻工场等</w:t>
      </w:r>
      <w:r>
        <w:rPr>
          <w:rFonts w:hint="eastAsia"/>
          <w:lang w:val="en-US" w:eastAsia="zh-CN"/>
        </w:rPr>
        <w:t>融合海洋元素的咖啡特色街区，举办咖啡文化节、品鉴沙龙等活动，开发“种植采摘－加工品鉴－侨乡沉浸”主题旅游线路与文创产品；发布万宁“咖啡地图”，深化“咖啡+冲浪”“咖啡+温泉”“咖啡+康养”等业态融合，构建“从种子到杯子、从体验到传播”的文旅生态，打造具有全国影响力的侨韵咖乡旅游目的地。</w:t>
      </w:r>
    </w:p>
    <w:p w14:paraId="4E235E08">
      <w:pPr>
        <w:rPr>
          <w:rFonts w:hint="eastAsia"/>
          <w:lang w:val="en-US" w:eastAsia="zh-CN"/>
        </w:rPr>
      </w:pP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4FB0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8342" w:type="dxa"/>
            <w:tcMar>
              <w:top w:w="0" w:type="dxa"/>
              <w:left w:w="108" w:type="dxa"/>
              <w:bottom w:w="0" w:type="dxa"/>
              <w:right w:w="108" w:type="dxa"/>
            </w:tcMar>
            <w:vAlign w:val="center"/>
          </w:tcPr>
          <w:p w14:paraId="203D8E56">
            <w:pPr>
              <w:pStyle w:val="22"/>
              <w:shd w:val="clear"/>
              <w:snapToGrid w:val="0"/>
              <w:ind w:left="425" w:hanging="425"/>
              <w:rPr>
                <w:rFonts w:hint="default"/>
                <w:color w:val="auto"/>
                <w:highlight w:val="none"/>
              </w:rPr>
            </w:pPr>
            <w:r>
              <w:rPr>
                <w:rFonts w:hint="eastAsia"/>
                <w:color w:val="auto"/>
                <w:highlight w:val="none"/>
                <w:lang w:val="en-US" w:eastAsia="zh-CN"/>
              </w:rPr>
              <w:t xml:space="preserve"> 侨乡</w:t>
            </w:r>
            <w:r>
              <w:rPr>
                <w:color w:val="auto"/>
                <w:highlight w:val="none"/>
              </w:rPr>
              <w:t>旅游产品</w:t>
            </w:r>
          </w:p>
        </w:tc>
      </w:tr>
      <w:tr w14:paraId="0B6D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3246A387">
            <w:pPr>
              <w:widowControl w:val="0"/>
              <w:numPr>
                <w:ilvl w:val="0"/>
                <w:numId w:val="0"/>
              </w:numPr>
              <w:shd w:val="clear"/>
              <w:snapToGrid w:val="0"/>
              <w:spacing w:line="360" w:lineRule="auto"/>
              <w:ind w:firstLine="482" w:firstLineChars="200"/>
              <w:jc w:val="both"/>
              <w:rPr>
                <w:rFonts w:hint="default"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w:t>
            </w:r>
            <w:r>
              <w:rPr>
                <w:rFonts w:hint="eastAsia" w:cs="仿宋_GB2312"/>
                <w:b/>
                <w:bCs/>
                <w:color w:val="auto"/>
                <w:kern w:val="2"/>
                <w:sz w:val="24"/>
                <w:szCs w:val="24"/>
                <w:highlight w:val="none"/>
                <w:lang w:val="en-US" w:eastAsia="zh-CN" w:bidi="ar-SA"/>
              </w:rPr>
              <w:t>侨乡主题旅游项目</w:t>
            </w:r>
            <w:r>
              <w:rPr>
                <w:rFonts w:hint="eastAsia" w:ascii="仿宋_GB2312" w:hAnsi="仿宋_GB2312" w:eastAsia="仿宋_GB2312" w:cs="仿宋_GB2312"/>
                <w:b/>
                <w:bCs/>
                <w:color w:val="auto"/>
                <w:kern w:val="2"/>
                <w:sz w:val="24"/>
                <w:szCs w:val="24"/>
                <w:highlight w:val="none"/>
                <w:lang w:val="en-US" w:eastAsia="zh-CN" w:bidi="ar-SA"/>
              </w:rPr>
              <w:t>：</w:t>
            </w:r>
            <w:r>
              <w:rPr>
                <w:rFonts w:hint="eastAsia" w:cs="仿宋_GB2312"/>
                <w:color w:val="auto"/>
                <w:sz w:val="24"/>
                <w:highlight w:val="none"/>
              </w:rPr>
              <w:t>南国东南亚旅游度假区</w:t>
            </w:r>
            <w:r>
              <w:rPr>
                <w:rFonts w:hint="eastAsia" w:cs="仿宋_GB2312"/>
                <w:color w:val="auto"/>
                <w:sz w:val="24"/>
                <w:highlight w:val="none"/>
                <w:lang w:eastAsia="zh-CN"/>
              </w:rPr>
              <w:t>、</w:t>
            </w:r>
            <w:r>
              <w:rPr>
                <w:rFonts w:hint="eastAsia" w:cs="仿宋_GB2312"/>
                <w:color w:val="auto"/>
                <w:sz w:val="24"/>
                <w:highlight w:val="none"/>
              </w:rPr>
              <w:t>万宁市兴隆侨乡特色文旅融合发展基地建设项目</w:t>
            </w:r>
            <w:r>
              <w:rPr>
                <w:rFonts w:hint="eastAsia" w:cs="仿宋_GB2312"/>
                <w:color w:val="auto"/>
                <w:sz w:val="24"/>
                <w:highlight w:val="none"/>
                <w:lang w:eastAsia="zh-CN"/>
              </w:rPr>
              <w:t>、</w:t>
            </w:r>
            <w:r>
              <w:rPr>
                <w:rFonts w:hint="eastAsia" w:cs="仿宋_GB2312"/>
                <w:color w:val="auto"/>
                <w:sz w:val="24"/>
                <w:highlight w:val="none"/>
              </w:rPr>
              <w:t>华侨文化交流中心</w:t>
            </w:r>
            <w:r>
              <w:rPr>
                <w:rFonts w:hint="eastAsia" w:cs="仿宋_GB2312"/>
                <w:b w:val="0"/>
                <w:bCs w:val="0"/>
                <w:color w:val="auto"/>
                <w:kern w:val="2"/>
                <w:sz w:val="24"/>
                <w:szCs w:val="24"/>
                <w:highlight w:val="none"/>
                <w:lang w:val="en-US" w:eastAsia="zh-CN" w:bidi="ar-SA"/>
              </w:rPr>
              <w:t>等项目。</w:t>
            </w:r>
          </w:p>
          <w:p w14:paraId="1B64CE1B">
            <w:pPr>
              <w:widowControl w:val="0"/>
              <w:numPr>
                <w:ilvl w:val="0"/>
                <w:numId w:val="0"/>
              </w:numPr>
              <w:shd w:val="clear"/>
              <w:snapToGrid w:val="0"/>
              <w:spacing w:line="360" w:lineRule="auto"/>
              <w:ind w:firstLine="482" w:firstLineChars="200"/>
              <w:jc w:val="both"/>
              <w:rPr>
                <w:rFonts w:hint="eastAsia" w:eastAsia="仿宋_GB2312" w:cs="仿宋_GB2312"/>
                <w:b w:val="0"/>
                <w:bCs w:val="0"/>
                <w:color w:val="auto"/>
                <w:kern w:val="2"/>
                <w:sz w:val="24"/>
                <w:szCs w:val="24"/>
                <w:highlight w:val="none"/>
                <w:lang w:val="en-US" w:eastAsia="zh-CN" w:bidi="ar-SA"/>
              </w:rPr>
            </w:pPr>
            <w:r>
              <w:rPr>
                <w:rFonts w:hint="eastAsia" w:cs="仿宋_GB2312"/>
                <w:b/>
                <w:bCs/>
                <w:color w:val="auto"/>
                <w:kern w:val="2"/>
                <w:sz w:val="24"/>
                <w:szCs w:val="24"/>
                <w:highlight w:val="none"/>
                <w:lang w:val="en-US" w:eastAsia="zh-CN" w:bidi="ar-SA"/>
              </w:rPr>
              <w:t>2.咖啡主题旅游项目</w:t>
            </w:r>
            <w:r>
              <w:rPr>
                <w:rFonts w:hint="eastAsia" w:ascii="仿宋_GB2312" w:hAnsi="仿宋_GB2312" w:eastAsia="仿宋_GB2312" w:cs="仿宋_GB2312"/>
                <w:b/>
                <w:bCs/>
                <w:color w:val="auto"/>
                <w:kern w:val="2"/>
                <w:sz w:val="24"/>
                <w:szCs w:val="24"/>
                <w:highlight w:val="none"/>
                <w:lang w:val="en-US" w:eastAsia="zh-CN" w:bidi="ar-SA"/>
              </w:rPr>
              <w:t>：</w:t>
            </w:r>
            <w:r>
              <w:rPr>
                <w:rFonts w:hint="eastAsia" w:cs="仿宋_GB2312"/>
                <w:color w:val="auto"/>
                <w:sz w:val="24"/>
                <w:highlight w:val="none"/>
              </w:rPr>
              <w:t>万宁市咖啡产业升级示范园建设项目</w:t>
            </w:r>
            <w:r>
              <w:rPr>
                <w:rFonts w:hint="eastAsia" w:cs="仿宋_GB2312"/>
                <w:color w:val="auto"/>
                <w:sz w:val="24"/>
                <w:highlight w:val="none"/>
                <w:lang w:eastAsia="zh-CN"/>
              </w:rPr>
              <w:t>、</w:t>
            </w:r>
            <w:r>
              <w:rPr>
                <w:rFonts w:hint="eastAsia" w:cs="仿宋_GB2312"/>
                <w:color w:val="auto"/>
                <w:sz w:val="24"/>
                <w:highlight w:val="none"/>
              </w:rPr>
              <w:t>正大万宁兴隆咖啡城项目</w:t>
            </w:r>
            <w:r>
              <w:rPr>
                <w:rFonts w:hint="eastAsia" w:cs="仿宋_GB2312"/>
                <w:b w:val="0"/>
                <w:bCs w:val="0"/>
                <w:color w:val="auto"/>
                <w:kern w:val="2"/>
                <w:sz w:val="24"/>
                <w:szCs w:val="24"/>
                <w:highlight w:val="none"/>
                <w:lang w:val="en-US" w:eastAsia="zh-CN" w:bidi="ar-SA"/>
              </w:rPr>
              <w:t>等项目。</w:t>
            </w:r>
          </w:p>
        </w:tc>
      </w:tr>
    </w:tbl>
    <w:p w14:paraId="0DD04E44">
      <w:pPr>
        <w:pStyle w:val="4"/>
        <w:shd w:val="clear"/>
        <w:ind w:firstLine="479"/>
        <w:rPr>
          <w:rFonts w:hint="eastAsia"/>
          <w:color w:val="auto"/>
          <w:highlight w:val="none"/>
          <w:lang w:val="en-US" w:eastAsia="zh-CN"/>
        </w:rPr>
      </w:pPr>
      <w:r>
        <w:rPr>
          <w:rFonts w:hint="eastAsia"/>
          <w:color w:val="auto"/>
          <w:highlight w:val="none"/>
          <w:lang w:val="en-US" w:eastAsia="zh-CN"/>
        </w:rPr>
        <w:t>（四）康养旅游产品</w:t>
      </w:r>
    </w:p>
    <w:p w14:paraId="2970DA53">
      <w:pP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聚焦温泉康养旅居产品升级，以“资源提效、产品迭代、品牌突围”为核心方向，构建多层次康养产业体系</w:t>
      </w:r>
      <w:r>
        <w:rPr>
          <w:rFonts w:hint="eastAsia"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培育龙头企业</w:t>
      </w:r>
      <w:r>
        <w:rPr>
          <w:rFonts w:hint="eastAsia" w:cs="仿宋_GB2312"/>
          <w:color w:val="000000" w:themeColor="text1"/>
          <w:sz w:val="32"/>
          <w:szCs w:val="32"/>
          <w:highlight w:val="none"/>
          <w:lang w:val="en-US" w:eastAsia="zh-CN"/>
          <w14:textFill>
            <w14:solidFill>
              <w14:schemeClr w14:val="tx1"/>
            </w14:solidFill>
          </w14:textFill>
        </w:rPr>
        <w:t>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产业集群，推动兴隆</w:t>
      </w:r>
      <w:r>
        <w:rPr>
          <w:rFonts w:hint="eastAsia" w:cs="仿宋_GB2312"/>
          <w:color w:val="000000" w:themeColor="text1"/>
          <w:sz w:val="32"/>
          <w:szCs w:val="32"/>
          <w:highlight w:val="none"/>
          <w:lang w:val="en-US" w:eastAsia="zh-CN"/>
          <w14:textFill>
            <w14:solidFill>
              <w14:schemeClr w14:val="tx1"/>
            </w14:solidFill>
          </w14:textFill>
        </w:rPr>
        <w:t>温泉创建省级旅游度假区，积极开发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尖岭、</w:t>
      </w:r>
      <w:r>
        <w:rPr>
          <w:rFonts w:hint="eastAsia" w:cs="仿宋_GB2312"/>
          <w:color w:val="000000" w:themeColor="text1"/>
          <w:sz w:val="32"/>
          <w:szCs w:val="32"/>
          <w:highlight w:val="none"/>
          <w:lang w:val="en-US" w:eastAsia="zh-CN"/>
          <w14:textFill>
            <w14:solidFill>
              <w14:schemeClr w14:val="tx1"/>
            </w14:solidFill>
          </w14:textFill>
        </w:rPr>
        <w:t>太阳河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w:t>
      </w:r>
      <w:r>
        <w:rPr>
          <w:rFonts w:hint="eastAsia" w:cs="仿宋_GB2312"/>
          <w:color w:val="000000" w:themeColor="text1"/>
          <w:sz w:val="32"/>
          <w:szCs w:val="32"/>
          <w:highlight w:val="none"/>
          <w:lang w:val="en-US" w:eastAsia="zh-CN"/>
          <w14:textFill>
            <w14:solidFill>
              <w14:schemeClr w14:val="tx1"/>
            </w14:solidFill>
          </w14:textFill>
        </w:rPr>
        <w:t>区域的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温泉</w:t>
      </w:r>
      <w:r>
        <w:rPr>
          <w:rFonts w:hint="eastAsia" w:cs="仿宋_GB2312"/>
          <w:color w:val="000000" w:themeColor="text1"/>
          <w:sz w:val="32"/>
          <w:szCs w:val="32"/>
          <w:highlight w:val="none"/>
          <w:lang w:val="en-US" w:eastAsia="zh-CN"/>
          <w14:textFill>
            <w14:solidFill>
              <w14:schemeClr w14:val="tx1"/>
            </w14:solidFill>
          </w14:textFill>
        </w:rPr>
        <w:t>资源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，推</w:t>
      </w:r>
      <w:r>
        <w:rPr>
          <w:rFonts w:hint="eastAsia" w:cs="仿宋_GB2312"/>
          <w:color w:val="000000" w:themeColor="text1"/>
          <w:sz w:val="32"/>
          <w:szCs w:val="32"/>
          <w:highlight w:val="none"/>
          <w:lang w:val="en-US" w:eastAsia="zh-CN"/>
          <w14:textFill>
            <w14:solidFill>
              <w14:schemeClr w14:val="tx1"/>
            </w14:solidFill>
          </w14:textFill>
        </w:rPr>
        <w:t>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温泉产品向多维疗愈升级，开发融合中医理疗、自然疗愈、人文颐养的高端康养产品</w:t>
      </w:r>
      <w:r>
        <w:rPr>
          <w:rFonts w:hint="eastAsia"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打造功能复合的温泉旅游综合体；针对银发群体需求，加快</w:t>
      </w:r>
      <w:r>
        <w:rPr>
          <w:rFonts w:hint="eastAsia" w:cs="仿宋_GB2312"/>
          <w:color w:val="000000" w:themeColor="text1"/>
          <w:sz w:val="32"/>
          <w:szCs w:val="32"/>
          <w:highlight w:val="none"/>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海南盖娅康养圣地、雅居乐山钦湾</w:t>
      </w:r>
      <w:r>
        <w:rPr>
          <w:rFonts w:hint="eastAsia" w:cs="仿宋_GB2312"/>
          <w:color w:val="000000" w:themeColor="text1"/>
          <w:sz w:val="32"/>
          <w:szCs w:val="32"/>
          <w:highlight w:val="none"/>
          <w:lang w:val="en-US" w:eastAsia="zh-CN"/>
          <w14:textFill>
            <w14:solidFill>
              <w14:schemeClr w14:val="tx1"/>
            </w14:solidFill>
          </w14:textFill>
        </w:rPr>
        <w:t>、兴隆康养小镇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等项目，配套生态漫步、滨海观光等适老活动，打造“旅居疗愈+康复养老”特色场景</w:t>
      </w:r>
      <w:r>
        <w:rPr>
          <w:rFonts w:hint="eastAsia"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依托市中医院等医疗机构提供中医养生、康复理疗等服务，打造海南东部“康养+”产业高地</w:t>
      </w:r>
      <w:r>
        <w:rPr>
          <w:rFonts w:hint="eastAsia"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创新中短期“候鸟式”养老旅居产品，支持康养社区建设，构建“短期疗养</w:t>
      </w:r>
      <w:r>
        <w:rPr>
          <w:rFonts w:hint="eastAsia"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中期旅居</w:t>
      </w:r>
      <w:r>
        <w:rPr>
          <w:rFonts w:hint="eastAsia"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长期养老”的全周期服务体系，打造具有全国辨识度的万宁银发文旅品牌。</w:t>
      </w: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50CF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8342" w:type="dxa"/>
            <w:tcMar>
              <w:top w:w="0" w:type="dxa"/>
              <w:left w:w="108" w:type="dxa"/>
              <w:bottom w:w="0" w:type="dxa"/>
              <w:right w:w="108" w:type="dxa"/>
            </w:tcMar>
            <w:vAlign w:val="center"/>
          </w:tcPr>
          <w:p w14:paraId="2F07699B">
            <w:pPr>
              <w:pStyle w:val="22"/>
              <w:shd w:val="clear"/>
              <w:snapToGrid w:val="0"/>
              <w:ind w:left="425" w:hanging="425"/>
              <w:rPr>
                <w:rFonts w:hint="default"/>
                <w:color w:val="auto"/>
                <w:highlight w:val="none"/>
              </w:rPr>
            </w:pPr>
            <w:r>
              <w:rPr>
                <w:rFonts w:hint="eastAsia"/>
                <w:color w:val="auto"/>
                <w:highlight w:val="none"/>
                <w:lang w:val="en-US" w:eastAsia="zh-CN"/>
              </w:rPr>
              <w:t xml:space="preserve"> </w:t>
            </w:r>
            <w:r>
              <w:rPr>
                <w:rFonts w:hint="eastAsia"/>
                <w:color w:val="auto"/>
                <w:highlight w:val="none"/>
              </w:rPr>
              <w:t>康养</w:t>
            </w:r>
            <w:r>
              <w:rPr>
                <w:rFonts w:hint="eastAsia"/>
                <w:color w:val="auto"/>
                <w:highlight w:val="none"/>
                <w:lang w:val="en-US" w:eastAsia="zh-CN"/>
              </w:rPr>
              <w:t>旅游</w:t>
            </w:r>
            <w:r>
              <w:rPr>
                <w:color w:val="auto"/>
                <w:highlight w:val="none"/>
              </w:rPr>
              <w:t>产品</w:t>
            </w:r>
          </w:p>
        </w:tc>
      </w:tr>
      <w:tr w14:paraId="12C3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6B7A671E">
            <w:pPr>
              <w:widowControl w:val="0"/>
              <w:numPr>
                <w:ilvl w:val="0"/>
                <w:numId w:val="0"/>
              </w:numPr>
              <w:shd w:val="clear"/>
              <w:snapToGrid w:val="0"/>
              <w:spacing w:line="360" w:lineRule="auto"/>
              <w:ind w:firstLine="480" w:firstLineChars="200"/>
              <w:jc w:val="both"/>
              <w:rPr>
                <w:rFonts w:hint="eastAsia" w:eastAsia="仿宋_GB2312" w:cs="仿宋_GB2312"/>
                <w:b w:val="0"/>
                <w:bCs w:val="0"/>
                <w:color w:val="auto"/>
                <w:kern w:val="2"/>
                <w:sz w:val="24"/>
                <w:szCs w:val="24"/>
                <w:highlight w:val="none"/>
                <w:lang w:val="en-US" w:eastAsia="zh-CN" w:bidi="ar-SA"/>
              </w:rPr>
            </w:pPr>
            <w:r>
              <w:rPr>
                <w:rFonts w:hint="eastAsia" w:cs="仿宋_GB2312"/>
                <w:color w:val="auto"/>
                <w:sz w:val="24"/>
                <w:highlight w:val="none"/>
              </w:rPr>
              <w:t>兴隆国家森林公园项目</w:t>
            </w:r>
            <w:r>
              <w:rPr>
                <w:rFonts w:hint="eastAsia" w:cs="仿宋_GB2312"/>
                <w:b w:val="0"/>
                <w:bCs w:val="0"/>
                <w:color w:val="auto"/>
                <w:kern w:val="2"/>
                <w:sz w:val="24"/>
                <w:szCs w:val="24"/>
                <w:highlight w:val="none"/>
                <w:lang w:val="en-US" w:eastAsia="zh-CN" w:bidi="ar-SA"/>
              </w:rPr>
              <w:t>、</w:t>
            </w:r>
            <w:r>
              <w:rPr>
                <w:rFonts w:hint="eastAsia" w:cs="仿宋_GB2312"/>
                <w:color w:val="auto"/>
                <w:sz w:val="24"/>
                <w:highlight w:val="none"/>
              </w:rPr>
              <w:t>盖娅康养圣地</w:t>
            </w:r>
            <w:r>
              <w:rPr>
                <w:rFonts w:hint="eastAsia" w:cs="仿宋_GB2312"/>
                <w:color w:val="auto"/>
                <w:sz w:val="24"/>
                <w:highlight w:val="none"/>
                <w:lang w:eastAsia="zh-CN"/>
              </w:rPr>
              <w:t>建设项目、</w:t>
            </w:r>
            <w:r>
              <w:rPr>
                <w:rFonts w:hint="eastAsia" w:cs="仿宋_GB2312"/>
                <w:color w:val="auto"/>
                <w:sz w:val="24"/>
                <w:highlight w:val="none"/>
              </w:rPr>
              <w:t>神州半岛银河湾高端酒店项目</w:t>
            </w:r>
            <w:r>
              <w:rPr>
                <w:rFonts w:hint="eastAsia" w:cs="仿宋_GB2312"/>
                <w:color w:val="auto"/>
                <w:sz w:val="24"/>
                <w:highlight w:val="none"/>
                <w:lang w:eastAsia="zh-CN"/>
              </w:rPr>
              <w:t>、</w:t>
            </w:r>
            <w:r>
              <w:rPr>
                <w:rFonts w:hint="eastAsia" w:cs="仿宋_GB2312"/>
                <w:color w:val="auto"/>
                <w:sz w:val="24"/>
                <w:highlight w:val="none"/>
              </w:rPr>
              <w:t>南桥·三叶林hevea旅游度假村项目</w:t>
            </w:r>
            <w:r>
              <w:rPr>
                <w:rFonts w:hint="eastAsia" w:cs="仿宋_GB2312"/>
                <w:color w:val="auto"/>
                <w:sz w:val="24"/>
                <w:highlight w:val="none"/>
                <w:lang w:eastAsia="zh-CN"/>
              </w:rPr>
              <w:t>、</w:t>
            </w:r>
            <w:r>
              <w:rPr>
                <w:rFonts w:hint="eastAsia" w:cs="仿宋_GB2312"/>
                <w:color w:val="auto"/>
                <w:sz w:val="24"/>
                <w:highlight w:val="none"/>
              </w:rPr>
              <w:t>后安镇斑斓自在营地项目</w:t>
            </w:r>
            <w:r>
              <w:rPr>
                <w:rFonts w:hint="eastAsia" w:cs="仿宋_GB2312"/>
                <w:color w:val="auto"/>
                <w:sz w:val="24"/>
                <w:highlight w:val="none"/>
                <w:lang w:eastAsia="zh-CN"/>
              </w:rPr>
              <w:t>、</w:t>
            </w:r>
            <w:r>
              <w:rPr>
                <w:rFonts w:hint="eastAsia" w:cs="仿宋_GB2312"/>
                <w:color w:val="auto"/>
                <w:sz w:val="24"/>
                <w:highlight w:val="none"/>
              </w:rPr>
              <w:t>万宁市龙滚镇滨海文旅片区融合发展项目</w:t>
            </w:r>
            <w:r>
              <w:rPr>
                <w:rFonts w:hint="eastAsia" w:cs="仿宋_GB2312"/>
                <w:color w:val="auto"/>
                <w:sz w:val="24"/>
                <w:highlight w:val="none"/>
                <w:lang w:eastAsia="zh-CN"/>
              </w:rPr>
              <w:t>、</w:t>
            </w:r>
            <w:r>
              <w:rPr>
                <w:rFonts w:hint="eastAsia" w:cs="仿宋_GB2312"/>
                <w:color w:val="auto"/>
                <w:sz w:val="24"/>
                <w:highlight w:val="none"/>
              </w:rPr>
              <w:t>兴隆康养小镇</w:t>
            </w:r>
            <w:r>
              <w:rPr>
                <w:rFonts w:hint="eastAsia" w:cs="仿宋_GB2312"/>
                <w:color w:val="auto"/>
                <w:sz w:val="24"/>
                <w:highlight w:val="none"/>
                <w:lang w:eastAsia="zh-CN"/>
              </w:rPr>
              <w:t>项目、</w:t>
            </w:r>
            <w:r>
              <w:rPr>
                <w:rFonts w:hint="eastAsia" w:cs="仿宋_GB2312"/>
                <w:color w:val="auto"/>
                <w:sz w:val="24"/>
                <w:highlight w:val="none"/>
              </w:rPr>
              <w:t>丽兹卡尔智慧康养项目</w:t>
            </w:r>
            <w:r>
              <w:rPr>
                <w:rFonts w:hint="eastAsia" w:cs="仿宋_GB2312"/>
                <w:color w:val="auto"/>
                <w:sz w:val="24"/>
                <w:highlight w:val="none"/>
                <w:lang w:eastAsia="zh-CN"/>
              </w:rPr>
              <w:t>、隆祥智慧康养生活港与康复医院项目</w:t>
            </w:r>
            <w:r>
              <w:rPr>
                <w:rFonts w:hint="eastAsia" w:cs="仿宋_GB2312"/>
                <w:color w:val="auto"/>
                <w:sz w:val="24"/>
                <w:highlight w:val="none"/>
                <w:lang w:val="en-US" w:eastAsia="zh-CN"/>
              </w:rPr>
              <w:t>等。</w:t>
            </w:r>
          </w:p>
        </w:tc>
      </w:tr>
    </w:tbl>
    <w:p w14:paraId="3DB2E76B">
      <w:pPr>
        <w:pStyle w:val="4"/>
        <w:shd w:val="clear"/>
        <w:ind w:firstLine="479"/>
        <w:rPr>
          <w:rFonts w:hint="eastAsia"/>
          <w:color w:val="auto"/>
          <w:highlight w:val="none"/>
          <w:lang w:val="en-US" w:eastAsia="zh-CN"/>
        </w:rPr>
      </w:pPr>
      <w:r>
        <w:rPr>
          <w:rFonts w:hint="eastAsia"/>
          <w:color w:val="auto"/>
          <w:highlight w:val="none"/>
          <w:lang w:val="en-US" w:eastAsia="zh-CN"/>
        </w:rPr>
        <w:t>（五）渔旅融合产品</w:t>
      </w:r>
    </w:p>
    <w:p w14:paraId="254ADCF1">
      <w:pPr>
        <w:rPr>
          <w:rFonts w:hint="eastAsia"/>
          <w:lang w:val="en-US" w:eastAsia="zh-CN"/>
        </w:rPr>
      </w:pPr>
      <w:r>
        <w:rPr>
          <w:rFonts w:hint="eastAsia"/>
          <w:lang w:val="en-US" w:eastAsia="zh-CN"/>
        </w:rPr>
        <w:t>依托国家级海洋牧场、深海养殖平台、沿海渔港经济区三大载体，构建“渔业生产－文旅消费－业态联动”融合发展体系。做精海上消费场景，发展垂钓艇舱、海上民宿、渔市工坊、赶海研学等渔旅融合业态，培育一批“小而美”沉浸式海上消费IP。推动万宁滨海沿线串珠成链，升级</w:t>
      </w:r>
      <w:r>
        <w:rPr>
          <w:rFonts w:hint="eastAsia" w:cs="仿宋_GB2312"/>
          <w:color w:val="000000" w:themeColor="text1"/>
          <w:sz w:val="32"/>
          <w:szCs w:val="32"/>
          <w:highlight w:val="none"/>
          <w:lang w:val="en-US" w:eastAsia="zh-CN"/>
          <w14:textFill>
            <w14:solidFill>
              <w14:schemeClr w14:val="tx1"/>
            </w14:solidFill>
          </w14:textFill>
        </w:rPr>
        <w:t>礼纪镇田新村、排溪村东星斑基地、小海片区、X435县道沿线</w:t>
      </w:r>
      <w:r>
        <w:rPr>
          <w:rFonts w:hint="eastAsia"/>
          <w:lang w:val="en-US" w:eastAsia="zh-CN"/>
        </w:rPr>
        <w:t>等重点区域的民宿集群与产业配套，丰富渔家民宿、海鲜餐饮、滨海度假等产品供给，构建集渔业观光、渔俗体验、渔鲜美食于一体的全链条渔旅融合产品体系，打造万宁标志性滨海休闲渔廊。</w:t>
      </w: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219C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8342" w:type="dxa"/>
            <w:tcMar>
              <w:top w:w="0" w:type="dxa"/>
              <w:left w:w="108" w:type="dxa"/>
              <w:bottom w:w="0" w:type="dxa"/>
              <w:right w:w="108" w:type="dxa"/>
            </w:tcMar>
            <w:vAlign w:val="center"/>
          </w:tcPr>
          <w:p w14:paraId="41A74E47">
            <w:pPr>
              <w:pStyle w:val="22"/>
              <w:shd w:val="clear"/>
              <w:snapToGrid w:val="0"/>
              <w:ind w:left="425" w:hanging="425"/>
              <w:rPr>
                <w:rFonts w:hint="default"/>
                <w:color w:val="auto"/>
                <w:highlight w:val="none"/>
              </w:rPr>
            </w:pPr>
            <w:r>
              <w:rPr>
                <w:rFonts w:hint="eastAsia"/>
                <w:color w:val="auto"/>
                <w:highlight w:val="none"/>
                <w:lang w:val="en-US" w:eastAsia="zh-CN"/>
              </w:rPr>
              <w:t xml:space="preserve"> 渔旅融合</w:t>
            </w:r>
            <w:r>
              <w:rPr>
                <w:color w:val="auto"/>
                <w:highlight w:val="none"/>
              </w:rPr>
              <w:t>产品</w:t>
            </w:r>
          </w:p>
        </w:tc>
      </w:tr>
      <w:tr w14:paraId="2474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11D2DCAA">
            <w:pPr>
              <w:widowControl w:val="0"/>
              <w:numPr>
                <w:ilvl w:val="-1"/>
                <w:numId w:val="0"/>
              </w:numPr>
              <w:shd w:val="clear"/>
              <w:snapToGrid w:val="0"/>
              <w:spacing w:line="360" w:lineRule="auto"/>
              <w:ind w:firstLine="480" w:firstLineChars="200"/>
              <w:jc w:val="both"/>
              <w:rPr>
                <w:rFonts w:hint="eastAsia" w:cs="仿宋_GB2312"/>
                <w:b w:val="0"/>
                <w:bCs w:val="0"/>
                <w:color w:val="auto"/>
                <w:kern w:val="2"/>
                <w:sz w:val="24"/>
                <w:szCs w:val="24"/>
                <w:highlight w:val="none"/>
                <w:lang w:val="en-US" w:eastAsia="zh-CN" w:bidi="ar-SA"/>
              </w:rPr>
            </w:pPr>
            <w:r>
              <w:rPr>
                <w:rFonts w:hint="eastAsia" w:cs="仿宋_GB2312"/>
                <w:b w:val="0"/>
                <w:bCs w:val="0"/>
                <w:color w:val="auto"/>
                <w:kern w:val="2"/>
                <w:sz w:val="24"/>
                <w:szCs w:val="24"/>
                <w:highlight w:val="none"/>
                <w:lang w:val="en-US" w:eastAsia="zh-CN" w:bidi="ar-SA"/>
              </w:rPr>
              <w:t>1.推进</w:t>
            </w:r>
            <w:r>
              <w:rPr>
                <w:rFonts w:hint="eastAsia" w:cs="仿宋_GB2312"/>
                <w:color w:val="auto"/>
                <w:sz w:val="24"/>
                <w:highlight w:val="none"/>
              </w:rPr>
              <w:t>礼纪镇田新村、排溪村东星斑基地、小海片区、X435县道沿线等重点区域的民宿集群</w:t>
            </w:r>
            <w:r>
              <w:rPr>
                <w:rFonts w:hint="eastAsia" w:cs="仿宋_GB2312"/>
                <w:color w:val="auto"/>
                <w:sz w:val="24"/>
                <w:highlight w:val="none"/>
                <w:lang w:val="en-US" w:eastAsia="zh-CN"/>
              </w:rPr>
              <w:t>建设；</w:t>
            </w:r>
          </w:p>
          <w:p w14:paraId="7B44DEFF">
            <w:pPr>
              <w:widowControl w:val="0"/>
              <w:numPr>
                <w:ilvl w:val="-1"/>
                <w:numId w:val="0"/>
              </w:numPr>
              <w:shd w:val="clear"/>
              <w:snapToGrid w:val="0"/>
              <w:spacing w:line="360" w:lineRule="auto"/>
              <w:ind w:firstLine="480" w:firstLineChars="200"/>
              <w:jc w:val="both"/>
              <w:rPr>
                <w:rFonts w:hint="default" w:cs="仿宋_GB2312"/>
                <w:b w:val="0"/>
                <w:bCs w:val="0"/>
                <w:color w:val="auto"/>
                <w:kern w:val="2"/>
                <w:sz w:val="24"/>
                <w:szCs w:val="24"/>
                <w:highlight w:val="none"/>
                <w:lang w:val="en-US" w:eastAsia="zh-CN" w:bidi="ar-SA"/>
              </w:rPr>
            </w:pPr>
            <w:r>
              <w:rPr>
                <w:rFonts w:hint="eastAsia" w:cs="仿宋_GB2312"/>
                <w:color w:val="auto"/>
                <w:sz w:val="24"/>
                <w:highlight w:val="none"/>
                <w:lang w:val="en-US" w:eastAsia="zh-CN"/>
              </w:rPr>
              <w:t>2.建设</w:t>
            </w:r>
            <w:r>
              <w:rPr>
                <w:rFonts w:hint="eastAsia" w:cs="仿宋_GB2312"/>
                <w:color w:val="auto"/>
                <w:sz w:val="24"/>
                <w:highlight w:val="none"/>
              </w:rPr>
              <w:t>后安镇乡村振兴项目（一期）</w:t>
            </w:r>
            <w:r>
              <w:rPr>
                <w:rFonts w:hint="eastAsia" w:cs="仿宋_GB2312"/>
                <w:color w:val="auto"/>
                <w:sz w:val="24"/>
                <w:highlight w:val="none"/>
                <w:lang w:eastAsia="zh-CN"/>
              </w:rPr>
              <w:t>、</w:t>
            </w:r>
            <w:r>
              <w:rPr>
                <w:rFonts w:hint="eastAsia" w:cs="仿宋_GB2312"/>
                <w:color w:val="auto"/>
                <w:sz w:val="24"/>
                <w:highlight w:val="none"/>
              </w:rPr>
              <w:t>万宁市和乐镇港北片旅游公路经济圈建设项目</w:t>
            </w:r>
            <w:r>
              <w:rPr>
                <w:rFonts w:hint="eastAsia" w:cs="仿宋_GB2312"/>
                <w:color w:val="auto"/>
                <w:sz w:val="24"/>
                <w:highlight w:val="none"/>
                <w:lang w:val="en-US" w:eastAsia="zh-CN"/>
              </w:rPr>
              <w:t>等。</w:t>
            </w:r>
          </w:p>
        </w:tc>
      </w:tr>
    </w:tbl>
    <w:p w14:paraId="124E705A">
      <w:pPr>
        <w:pStyle w:val="4"/>
        <w:shd w:val="clear"/>
        <w:ind w:firstLine="479"/>
        <w:rPr>
          <w:rFonts w:hint="eastAsia"/>
          <w:color w:val="auto"/>
          <w:highlight w:val="none"/>
          <w:lang w:val="en-US" w:eastAsia="zh-CN"/>
        </w:rPr>
      </w:pPr>
      <w:r>
        <w:rPr>
          <w:rFonts w:hint="eastAsia"/>
          <w:color w:val="auto"/>
          <w:highlight w:val="none"/>
          <w:lang w:val="en-US" w:eastAsia="zh-CN"/>
        </w:rPr>
        <w:t>（六）低空旅游产品</w:t>
      </w:r>
    </w:p>
    <w:p w14:paraId="6447A1F4">
      <w:pPr>
        <w:ind w:left="0" w:leftChars="0" w:firstLine="640" w:firstLineChars="200"/>
        <w:rPr>
          <w:rFonts w:hint="default"/>
          <w:lang w:val="en-US" w:eastAsia="zh-CN"/>
        </w:rPr>
      </w:pPr>
      <w:r>
        <w:rPr>
          <w:rFonts w:hint="default"/>
          <w:lang w:val="en-US" w:eastAsia="zh-CN"/>
        </w:rPr>
        <w:t>整合</w:t>
      </w:r>
      <w:r>
        <w:rPr>
          <w:rFonts w:hint="eastAsia"/>
          <w:lang w:val="en-US" w:eastAsia="zh-CN"/>
        </w:rPr>
        <w:t>滨海</w:t>
      </w:r>
      <w:r>
        <w:rPr>
          <w:rFonts w:hint="default"/>
          <w:lang w:val="en-US" w:eastAsia="zh-CN"/>
        </w:rPr>
        <w:t>、通航科技、侨乡文旅等</w:t>
      </w:r>
      <w:r>
        <w:rPr>
          <w:rFonts w:hint="eastAsia"/>
          <w:lang w:val="en-US" w:eastAsia="zh-CN"/>
        </w:rPr>
        <w:t>资源</w:t>
      </w:r>
      <w:r>
        <w:rPr>
          <w:rFonts w:hint="default"/>
          <w:lang w:val="en-US" w:eastAsia="zh-CN"/>
        </w:rPr>
        <w:t>，构建</w:t>
      </w:r>
      <w:r>
        <w:rPr>
          <w:rFonts w:hint="eastAsia"/>
        </w:rPr>
        <w:t>万宁特色</w:t>
      </w:r>
      <w:r>
        <w:rPr>
          <w:rFonts w:hint="eastAsia"/>
          <w:lang w:val="en-US" w:eastAsia="zh-CN"/>
        </w:rPr>
        <w:t>山海</w:t>
      </w:r>
      <w:r>
        <w:rPr>
          <w:rFonts w:hint="default"/>
          <w:lang w:val="en-US" w:eastAsia="zh-CN"/>
        </w:rPr>
        <w:t>低空旅游发展体系。依托万宁</w:t>
      </w:r>
      <w:r>
        <w:rPr>
          <w:rFonts w:hint="eastAsia"/>
        </w:rPr>
        <w:t>通用机场、跳伞基地、滑翔营地</w:t>
      </w:r>
      <w:r>
        <w:rPr>
          <w:rFonts w:hint="default"/>
          <w:lang w:val="en-US" w:eastAsia="zh-CN"/>
        </w:rPr>
        <w:t>等</w:t>
      </w:r>
      <w:r>
        <w:rPr>
          <w:rFonts w:hint="eastAsia"/>
        </w:rPr>
        <w:t>现有</w:t>
      </w:r>
      <w:r>
        <w:rPr>
          <w:rFonts w:hint="eastAsia"/>
          <w:lang w:val="en-US" w:eastAsia="zh-CN"/>
        </w:rPr>
        <w:t>载体</w:t>
      </w:r>
      <w:r>
        <w:rPr>
          <w:rFonts w:hint="default"/>
          <w:lang w:val="en-US" w:eastAsia="zh-CN"/>
        </w:rPr>
        <w:t>，加快布局低空飞行营地、</w:t>
      </w:r>
      <w:r>
        <w:rPr>
          <w:rFonts w:hint="eastAsia"/>
          <w:lang w:val="en-US" w:eastAsia="zh-CN"/>
        </w:rPr>
        <w:t>低</w:t>
      </w:r>
      <w:r>
        <w:rPr>
          <w:rFonts w:hint="default"/>
          <w:lang w:val="en-US" w:eastAsia="zh-CN"/>
        </w:rPr>
        <w:t>空科普教育基地</w:t>
      </w:r>
      <w:r>
        <w:rPr>
          <w:rFonts w:hint="eastAsia"/>
        </w:rPr>
        <w:t>等配套</w:t>
      </w:r>
      <w:r>
        <w:rPr>
          <w:rFonts w:hint="default"/>
          <w:lang w:val="en-US" w:eastAsia="zh-CN"/>
        </w:rPr>
        <w:t>，强化</w:t>
      </w:r>
      <w:r>
        <w:rPr>
          <w:rFonts w:hint="eastAsia"/>
          <w:lang w:val="en-US" w:eastAsia="zh-CN"/>
        </w:rPr>
        <w:t>低</w:t>
      </w:r>
      <w:r>
        <w:rPr>
          <w:rFonts w:hint="default"/>
          <w:lang w:val="en-US" w:eastAsia="zh-CN"/>
        </w:rPr>
        <w:t>空</w:t>
      </w:r>
      <w:r>
        <w:rPr>
          <w:rFonts w:hint="default"/>
          <w:highlight w:val="none"/>
          <w:lang w:val="en-US" w:eastAsia="zh-CN"/>
        </w:rPr>
        <w:t>研学</w:t>
      </w:r>
      <w:r>
        <w:rPr>
          <w:rFonts w:hint="default"/>
          <w:lang w:val="en-US" w:eastAsia="zh-CN"/>
        </w:rPr>
        <w:t>与综合服务能力。</w:t>
      </w:r>
      <w:r>
        <w:rPr>
          <w:rFonts w:hint="eastAsia"/>
          <w:lang w:val="en-US" w:eastAsia="zh-CN"/>
        </w:rPr>
        <w:t>串联万宁</w:t>
      </w:r>
      <w:r>
        <w:rPr>
          <w:rFonts w:hint="default"/>
          <w:lang w:val="en-US" w:eastAsia="zh-CN"/>
        </w:rPr>
        <w:t>山海河城资源，规划</w:t>
      </w:r>
      <w:r>
        <w:rPr>
          <w:rFonts w:hint="eastAsia"/>
        </w:rPr>
        <w:t>覆盖</w:t>
      </w:r>
      <w:r>
        <w:rPr>
          <w:rFonts w:hint="default"/>
          <w:lang w:val="en-US" w:eastAsia="zh-CN"/>
        </w:rPr>
        <w:t>滨海沿线、兴隆旅游区、中心城区的空中游览线路，</w:t>
      </w:r>
      <w:r>
        <w:rPr>
          <w:rFonts w:hint="eastAsia"/>
          <w:lang w:val="en-US" w:eastAsia="zh-CN"/>
        </w:rPr>
        <w:t>推出</w:t>
      </w:r>
      <w:r>
        <w:rPr>
          <w:rFonts w:hint="default"/>
          <w:lang w:val="en-US" w:eastAsia="zh-CN"/>
        </w:rPr>
        <w:t>空中游览、高空跳伞、飞行研学</w:t>
      </w:r>
      <w:r>
        <w:rPr>
          <w:rFonts w:hint="eastAsia"/>
          <w:lang w:val="en-US" w:eastAsia="zh-CN"/>
        </w:rPr>
        <w:t>及</w:t>
      </w:r>
      <w:r>
        <w:rPr>
          <w:rFonts w:hint="default"/>
          <w:lang w:val="en-US" w:eastAsia="zh-CN"/>
        </w:rPr>
        <w:t>“直升机+游艇”</w:t>
      </w:r>
      <w:r>
        <w:rPr>
          <w:rFonts w:hint="eastAsia"/>
        </w:rPr>
        <w:t>等</w:t>
      </w:r>
      <w:r>
        <w:rPr>
          <w:rFonts w:hint="eastAsia"/>
          <w:lang w:val="en-US" w:eastAsia="zh-CN"/>
        </w:rPr>
        <w:t>低空旅游</w:t>
      </w:r>
      <w:r>
        <w:rPr>
          <w:rFonts w:hint="eastAsia"/>
        </w:rPr>
        <w:t>产品</w:t>
      </w:r>
      <w:r>
        <w:rPr>
          <w:rFonts w:hint="default"/>
          <w:lang w:val="en-US" w:eastAsia="zh-CN"/>
        </w:rPr>
        <w:t>，</w:t>
      </w:r>
      <w:r>
        <w:rPr>
          <w:rFonts w:hint="eastAsia"/>
          <w:lang w:val="en-US" w:eastAsia="zh-CN"/>
        </w:rPr>
        <w:t>搭建</w:t>
      </w:r>
      <w:r>
        <w:rPr>
          <w:rFonts w:hint="default"/>
          <w:lang w:val="en-US" w:eastAsia="zh-CN"/>
        </w:rPr>
        <w:t>连</w:t>
      </w:r>
      <w:r>
        <w:rPr>
          <w:rFonts w:hint="eastAsia"/>
          <w:lang w:val="en-US" w:eastAsia="zh-CN"/>
        </w:rPr>
        <w:t>通各</w:t>
      </w:r>
      <w:r>
        <w:rPr>
          <w:rFonts w:hint="default"/>
          <w:lang w:val="en-US" w:eastAsia="zh-CN"/>
        </w:rPr>
        <w:t>景区、度假区的低空旅游网。在重点景区布局低空旅游起降设施，培育市场化运营主体，引导社会资本参与，</w:t>
      </w:r>
      <w:r>
        <w:rPr>
          <w:rFonts w:hint="eastAsia"/>
        </w:rPr>
        <w:t>推动</w:t>
      </w:r>
      <w:r>
        <w:rPr>
          <w:rFonts w:hint="default"/>
          <w:lang w:val="en-US" w:eastAsia="zh-CN"/>
        </w:rPr>
        <w:t>低空旅游持续壮大。</w:t>
      </w: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3F48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8342" w:type="dxa"/>
            <w:tcMar>
              <w:top w:w="0" w:type="dxa"/>
              <w:left w:w="108" w:type="dxa"/>
              <w:bottom w:w="0" w:type="dxa"/>
              <w:right w:w="108" w:type="dxa"/>
            </w:tcMar>
            <w:vAlign w:val="center"/>
          </w:tcPr>
          <w:p w14:paraId="02EE69D9">
            <w:pPr>
              <w:pStyle w:val="22"/>
              <w:shd w:val="clear"/>
              <w:snapToGrid w:val="0"/>
              <w:ind w:left="425" w:hanging="425"/>
              <w:rPr>
                <w:rFonts w:hint="default"/>
                <w:color w:val="auto"/>
                <w:highlight w:val="none"/>
              </w:rPr>
            </w:pPr>
            <w:r>
              <w:rPr>
                <w:rFonts w:hint="eastAsia"/>
                <w:color w:val="auto"/>
                <w:highlight w:val="none"/>
                <w:lang w:val="en-US" w:eastAsia="zh-CN"/>
              </w:rPr>
              <w:t xml:space="preserve"> 低空旅游</w:t>
            </w:r>
            <w:r>
              <w:rPr>
                <w:color w:val="auto"/>
                <w:highlight w:val="none"/>
              </w:rPr>
              <w:t>产品</w:t>
            </w:r>
          </w:p>
        </w:tc>
      </w:tr>
      <w:tr w14:paraId="2E41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6CBD4365">
            <w:pPr>
              <w:widowControl w:val="0"/>
              <w:numPr>
                <w:ilvl w:val="0"/>
                <w:numId w:val="0"/>
              </w:numPr>
              <w:shd w:val="clear"/>
              <w:snapToGrid w:val="0"/>
              <w:spacing w:line="360" w:lineRule="auto"/>
              <w:ind w:firstLine="480" w:firstLineChars="200"/>
              <w:jc w:val="both"/>
              <w:rPr>
                <w:rFonts w:hint="eastAsia" w:eastAsia="仿宋_GB2312" w:cs="仿宋_GB2312"/>
                <w:b w:val="0"/>
                <w:bCs w:val="0"/>
                <w:color w:val="auto"/>
                <w:kern w:val="2"/>
                <w:sz w:val="24"/>
                <w:szCs w:val="24"/>
                <w:highlight w:val="none"/>
                <w:lang w:val="en-US" w:eastAsia="zh-CN" w:bidi="ar-SA"/>
              </w:rPr>
            </w:pPr>
            <w:r>
              <w:rPr>
                <w:rFonts w:hint="default" w:cs="仿宋_GB2312"/>
                <w:color w:val="auto"/>
                <w:sz w:val="24"/>
                <w:highlight w:val="none"/>
              </w:rPr>
              <w:t>万宁神州半岛跳伞基地、</w:t>
            </w:r>
            <w:r>
              <w:rPr>
                <w:rFonts w:hint="eastAsia" w:cs="仿宋_GB2312"/>
                <w:color w:val="auto"/>
                <w:sz w:val="24"/>
                <w:highlight w:val="none"/>
                <w:lang w:val="en-US" w:eastAsia="zh-CN"/>
              </w:rPr>
              <w:t>日月湾飞行营地、石梅湾直升机观光基地、</w:t>
            </w:r>
            <w:r>
              <w:rPr>
                <w:rFonts w:hint="default" w:cs="仿宋_GB2312"/>
                <w:color w:val="auto"/>
                <w:sz w:val="24"/>
                <w:highlight w:val="none"/>
              </w:rPr>
              <w:t>正门岭海崖滑翔营地</w:t>
            </w:r>
            <w:r>
              <w:rPr>
                <w:rFonts w:hint="eastAsia" w:cs="仿宋_GB2312"/>
                <w:color w:val="auto"/>
                <w:sz w:val="24"/>
                <w:highlight w:val="none"/>
                <w:lang w:eastAsia="zh-CN"/>
              </w:rPr>
              <w:t>、</w:t>
            </w:r>
            <w:r>
              <w:rPr>
                <w:rFonts w:hint="eastAsia" w:cs="仿宋_GB2312"/>
                <w:color w:val="auto"/>
                <w:sz w:val="24"/>
                <w:highlight w:val="none"/>
              </w:rPr>
              <w:t>万宁低空经济基础设施建设项目</w:t>
            </w:r>
            <w:r>
              <w:rPr>
                <w:rFonts w:hint="eastAsia" w:cs="仿宋_GB2312"/>
                <w:color w:val="auto"/>
                <w:sz w:val="24"/>
                <w:highlight w:val="none"/>
                <w:lang w:val="en-US" w:eastAsia="zh-CN"/>
              </w:rPr>
              <w:t>等。</w:t>
            </w:r>
          </w:p>
        </w:tc>
      </w:tr>
    </w:tbl>
    <w:p w14:paraId="265D52D1">
      <w:pPr>
        <w:pStyle w:val="3"/>
        <w:shd w:val="clear"/>
        <w:spacing w:before="62" w:after="93"/>
        <w:ind w:firstLine="643"/>
        <w:jc w:val="left"/>
        <w:rPr>
          <w:rFonts w:hint="eastAsia" w:eastAsia="黑体"/>
          <w:b w:val="0"/>
          <w:bCs/>
          <w:color w:val="auto"/>
          <w:highlight w:val="none"/>
          <w:lang w:eastAsia="zh-CN"/>
        </w:rPr>
      </w:pPr>
      <w:bookmarkStart w:id="79" w:name="_Toc28770"/>
      <w:bookmarkStart w:id="80" w:name="_Toc29501"/>
      <w:bookmarkStart w:id="81" w:name="_Toc17893"/>
      <w:r>
        <w:rPr>
          <w:rFonts w:hint="eastAsia"/>
          <w:b w:val="0"/>
          <w:bCs/>
          <w:color w:val="auto"/>
          <w:highlight w:val="none"/>
          <w:lang w:val="en-US" w:eastAsia="zh-CN"/>
        </w:rPr>
        <w:t>二</w:t>
      </w:r>
      <w:r>
        <w:rPr>
          <w:rFonts w:hint="eastAsia"/>
          <w:b w:val="0"/>
          <w:bCs/>
          <w:color w:val="auto"/>
          <w:highlight w:val="none"/>
        </w:rPr>
        <w:t>、创新</w:t>
      </w:r>
      <w:r>
        <w:rPr>
          <w:rFonts w:hint="eastAsia"/>
          <w:b w:val="0"/>
          <w:bCs/>
          <w:color w:val="auto"/>
          <w:highlight w:val="none"/>
          <w:lang w:val="en-US" w:eastAsia="zh-CN"/>
        </w:rPr>
        <w:t>五</w:t>
      </w:r>
      <w:r>
        <w:rPr>
          <w:rFonts w:hint="eastAsia"/>
          <w:b w:val="0"/>
          <w:bCs/>
          <w:color w:val="auto"/>
          <w:highlight w:val="none"/>
        </w:rPr>
        <w:t>大文旅</w:t>
      </w:r>
      <w:r>
        <w:rPr>
          <w:rFonts w:hint="eastAsia"/>
          <w:b w:val="0"/>
          <w:bCs/>
          <w:color w:val="auto"/>
          <w:highlight w:val="none"/>
          <w:lang w:val="en-US" w:eastAsia="zh-CN"/>
        </w:rPr>
        <w:t>消费场景</w:t>
      </w:r>
      <w:bookmarkEnd w:id="79"/>
      <w:bookmarkEnd w:id="80"/>
      <w:bookmarkEnd w:id="81"/>
    </w:p>
    <w:p w14:paraId="0B99D262">
      <w:pPr>
        <w:pStyle w:val="4"/>
        <w:shd w:val="clear"/>
        <w:ind w:firstLine="479"/>
        <w:rPr>
          <w:rFonts w:hint="eastAsia"/>
          <w:color w:val="auto"/>
          <w:highlight w:val="none"/>
          <w:lang w:val="en-US" w:eastAsia="zh-CN"/>
        </w:rPr>
      </w:pPr>
      <w:r>
        <w:rPr>
          <w:rFonts w:hint="eastAsia"/>
          <w:color w:val="auto"/>
          <w:highlight w:val="none"/>
          <w:lang w:val="en-US" w:eastAsia="zh-CN"/>
        </w:rPr>
        <w:t>（一）做旺“夜间+</w:t>
      </w:r>
      <w:r>
        <w:rPr>
          <w:rFonts w:hint="default"/>
          <w:color w:val="auto"/>
          <w:highlight w:val="none"/>
          <w:lang w:eastAsia="zh-CN"/>
        </w:rPr>
        <w:t>旅游</w:t>
      </w:r>
      <w:r>
        <w:rPr>
          <w:rFonts w:hint="eastAsia"/>
          <w:color w:val="auto"/>
          <w:highlight w:val="none"/>
          <w:lang w:val="en-US" w:eastAsia="zh-CN"/>
        </w:rPr>
        <w:t>”</w:t>
      </w:r>
    </w:p>
    <w:p w14:paraId="59DEB15F">
      <w:pPr>
        <w:ind w:left="0" w:leftChars="0" w:firstLine="640" w:firstLineChars="200"/>
        <w:rPr>
          <w:rFonts w:hint="eastAsia" w:cs="仿宋_GB2312"/>
          <w:b w:val="0"/>
          <w:bCs w:val="0"/>
          <w:color w:val="000000" w:themeColor="text1"/>
          <w:sz w:val="32"/>
          <w:szCs w:val="32"/>
          <w:highlight w:val="none"/>
          <w:lang w:val="en-US" w:eastAsia="zh-CN"/>
          <w14:textFill>
            <w14:solidFill>
              <w14:schemeClr w14:val="tx1"/>
            </w14:solidFill>
          </w14:textFill>
        </w:rPr>
      </w:pPr>
      <w:r>
        <w:rPr>
          <w:rFonts w:hint="eastAsia" w:cs="仿宋_GB2312"/>
          <w:b w:val="0"/>
          <w:bCs w:val="0"/>
          <w:color w:val="000000" w:themeColor="text1"/>
          <w:sz w:val="32"/>
          <w:szCs w:val="32"/>
          <w:highlight w:val="none"/>
          <w:lang w:val="en-US" w:eastAsia="zh-CN"/>
          <w14:textFill>
            <w14:solidFill>
              <w14:schemeClr w14:val="tx1"/>
            </w14:solidFill>
          </w14:textFill>
        </w:rPr>
        <w:t>聚焦“夜游、夜演、夜购、夜食、夜宿”，打造多元夜间消费场景。在滨海湾区运用现代光影技术，打造数字光影秀、交互灯光艺术装置等核心夜景IP；在免税港、旅游街区、侨乡夜市、冲浪集市等重点区域引入沉浸式戏剧、街头艺术表演、主题夜市。鼓励文博场馆、商业综合体延长营业时间，发展24小时书店、深夜咖啡馆、Live house音乐现场、特色酒馆、深夜食堂等业态，打造夜间社交集群。提质升级仁里河灯光景观，举办星空音乐节、河畔汽车影院等特色活动。系统提升重点夜游区域照明、夜间公交、停车指引等配套服务，发布万宁夜生活地图，构建安全便捷的夜间消费环境。</w:t>
      </w:r>
    </w:p>
    <w:p w14:paraId="66C9FD46">
      <w:pPr>
        <w:pStyle w:val="4"/>
        <w:shd w:val="clear"/>
        <w:ind w:firstLine="479"/>
        <w:rPr>
          <w:rFonts w:hint="eastAsia"/>
          <w:color w:val="auto"/>
          <w:highlight w:val="none"/>
          <w:lang w:val="en-US" w:eastAsia="zh-CN"/>
        </w:rPr>
      </w:pPr>
      <w:r>
        <w:rPr>
          <w:rFonts w:hint="eastAsia"/>
          <w:color w:val="auto"/>
          <w:highlight w:val="none"/>
          <w:lang w:val="en-US" w:eastAsia="zh-CN"/>
        </w:rPr>
        <w:t>（二）做大“美食+旅</w:t>
      </w:r>
      <w:r>
        <w:rPr>
          <w:rFonts w:hint="default"/>
          <w:color w:val="auto"/>
          <w:highlight w:val="none"/>
          <w:lang w:eastAsia="zh-CN"/>
        </w:rPr>
        <w:t>游</w:t>
      </w:r>
      <w:r>
        <w:rPr>
          <w:rFonts w:hint="eastAsia"/>
          <w:color w:val="auto"/>
          <w:highlight w:val="none"/>
          <w:lang w:val="en-US" w:eastAsia="zh-CN"/>
        </w:rPr>
        <w:t>”</w:t>
      </w:r>
    </w:p>
    <w:p w14:paraId="51600053">
      <w:pPr>
        <w:ind w:left="0" w:leftChars="0" w:firstLine="640" w:firstLineChars="200"/>
        <w:rPr>
          <w:rFonts w:hint="default" w:cs="仿宋_GB2312"/>
          <w:b w:val="0"/>
          <w:bCs w:val="0"/>
          <w:color w:val="000000" w:themeColor="text1"/>
          <w:sz w:val="32"/>
          <w:szCs w:val="32"/>
          <w:lang w:val="en-US" w:eastAsia="zh-CN"/>
          <w14:textFill>
            <w14:solidFill>
              <w14:schemeClr w14:val="tx1"/>
            </w14:solidFill>
          </w14:textFill>
        </w:rPr>
      </w:pPr>
      <w:r>
        <w:rPr>
          <w:rFonts w:hint="default" w:cs="仿宋_GB2312"/>
          <w:b w:val="0"/>
          <w:bCs w:val="0"/>
          <w:color w:val="000000" w:themeColor="text1"/>
          <w:sz w:val="32"/>
          <w:szCs w:val="32"/>
          <w:lang w:val="en-US" w:eastAsia="zh-CN"/>
          <w14:textFill>
            <w14:solidFill>
              <w14:schemeClr w14:val="tx1"/>
            </w14:solidFill>
          </w14:textFill>
        </w:rPr>
        <w:t>依托海鲜名品、本土风味、侨乡特色</w:t>
      </w:r>
      <w:r>
        <w:rPr>
          <w:rFonts w:hint="eastAsia" w:cs="仿宋_GB2312"/>
          <w:b w:val="0"/>
          <w:bCs w:val="0"/>
          <w:color w:val="000000" w:themeColor="text1"/>
          <w:sz w:val="32"/>
          <w:szCs w:val="32"/>
          <w:lang w:val="en-US" w:eastAsia="zh-CN"/>
          <w14:textFill>
            <w14:solidFill>
              <w14:schemeClr w14:val="tx1"/>
            </w14:solidFill>
          </w14:textFill>
        </w:rPr>
        <w:t>多元</w:t>
      </w:r>
      <w:r>
        <w:rPr>
          <w:rFonts w:hint="default" w:cs="仿宋_GB2312"/>
          <w:b w:val="0"/>
          <w:bCs w:val="0"/>
          <w:color w:val="000000" w:themeColor="text1"/>
          <w:sz w:val="32"/>
          <w:szCs w:val="32"/>
          <w:lang w:val="en-US" w:eastAsia="zh-CN"/>
          <w14:textFill>
            <w14:solidFill>
              <w14:schemeClr w14:val="tx1"/>
            </w14:solidFill>
          </w14:textFill>
        </w:rPr>
        <w:t>美食资源，构建“品牌引领、场景融合、产业联动”美食旅游发展体系</w:t>
      </w:r>
      <w:r>
        <w:rPr>
          <w:rFonts w:hint="eastAsia" w:cs="仿宋_GB2312"/>
          <w:b w:val="0"/>
          <w:bCs w:val="0"/>
          <w:color w:val="000000" w:themeColor="text1"/>
          <w:sz w:val="32"/>
          <w:szCs w:val="32"/>
          <w:lang w:val="en-US" w:eastAsia="zh-CN"/>
          <w14:textFill>
            <w14:solidFill>
              <w14:schemeClr w14:val="tx1"/>
            </w14:solidFill>
          </w14:textFill>
        </w:rPr>
        <w:t>。</w:t>
      </w:r>
      <w:r>
        <w:rPr>
          <w:rFonts w:hint="default" w:cs="仿宋_GB2312"/>
          <w:b w:val="0"/>
          <w:bCs w:val="0"/>
          <w:color w:val="000000" w:themeColor="text1"/>
          <w:sz w:val="32"/>
          <w:szCs w:val="32"/>
          <w:lang w:val="en-US" w:eastAsia="zh-CN"/>
          <w14:textFill>
            <w14:solidFill>
              <w14:schemeClr w14:val="tx1"/>
            </w14:solidFill>
          </w14:textFill>
        </w:rPr>
        <w:t>聚焦“万宁四珍”（东山羊、和乐蟹、港北对虾、后安鲻鱼）地理标志产品</w:t>
      </w:r>
      <w:r>
        <w:rPr>
          <w:rFonts w:hint="eastAsia" w:cs="仿宋_GB2312"/>
          <w:b w:val="0"/>
          <w:bCs w:val="0"/>
          <w:color w:val="000000" w:themeColor="text1"/>
          <w:sz w:val="32"/>
          <w:szCs w:val="32"/>
          <w:lang w:val="en-US" w:eastAsia="zh-CN"/>
          <w14:textFill>
            <w14:solidFill>
              <w14:schemeClr w14:val="tx1"/>
            </w14:solidFill>
          </w14:textFill>
        </w:rPr>
        <w:t>，</w:t>
      </w:r>
      <w:r>
        <w:rPr>
          <w:rFonts w:hint="default" w:cs="仿宋_GB2312"/>
          <w:b w:val="0"/>
          <w:bCs w:val="0"/>
          <w:color w:val="000000" w:themeColor="text1"/>
          <w:sz w:val="32"/>
          <w:szCs w:val="32"/>
          <w:lang w:val="en-US" w:eastAsia="zh-CN"/>
          <w14:textFill>
            <w14:solidFill>
              <w14:schemeClr w14:val="tx1"/>
            </w14:solidFill>
          </w14:textFill>
        </w:rPr>
        <w:t>打造“天下海鲜·万宁领鲜”核心品牌</w:t>
      </w:r>
      <w:r>
        <w:rPr>
          <w:rFonts w:hint="eastAsia" w:cs="仿宋_GB2312"/>
          <w:b w:val="0"/>
          <w:bCs w:val="0"/>
          <w:color w:val="000000" w:themeColor="text1"/>
          <w:sz w:val="32"/>
          <w:szCs w:val="32"/>
          <w:lang w:val="en-US" w:eastAsia="zh-CN"/>
          <w14:textFill>
            <w14:solidFill>
              <w14:schemeClr w14:val="tx1"/>
            </w14:solidFill>
          </w14:textFill>
        </w:rPr>
        <w:t>；传承推广后安粉、和乐粽、东山烙饼等本土</w:t>
      </w:r>
      <w:r>
        <w:rPr>
          <w:rFonts w:hint="default" w:cs="仿宋_GB2312"/>
          <w:b w:val="0"/>
          <w:bCs w:val="0"/>
          <w:color w:val="000000" w:themeColor="text1"/>
          <w:sz w:val="32"/>
          <w:szCs w:val="32"/>
          <w:lang w:val="en-US" w:eastAsia="zh-CN"/>
          <w14:textFill>
            <w14:solidFill>
              <w14:schemeClr w14:val="tx1"/>
            </w14:solidFill>
          </w14:textFill>
        </w:rPr>
        <w:t>非遗</w:t>
      </w:r>
      <w:r>
        <w:rPr>
          <w:rFonts w:hint="eastAsia" w:cs="仿宋_GB2312"/>
          <w:b w:val="0"/>
          <w:bCs w:val="0"/>
          <w:color w:val="000000" w:themeColor="text1"/>
          <w:sz w:val="32"/>
          <w:szCs w:val="32"/>
          <w:lang w:val="en-US" w:eastAsia="zh-CN"/>
          <w14:textFill>
            <w14:solidFill>
              <w14:schemeClr w14:val="tx1"/>
            </w14:solidFill>
          </w14:textFill>
        </w:rPr>
        <w:t>小吃品牌；开发咖喱鸡、斑斓系列、兴隆咖啡等南洋特色侨乡美食标识。</w:t>
      </w:r>
      <w:r>
        <w:rPr>
          <w:rFonts w:hint="default" w:cs="仿宋_GB2312"/>
          <w:b w:val="0"/>
          <w:bCs w:val="0"/>
          <w:color w:val="000000" w:themeColor="text1"/>
          <w:sz w:val="32"/>
          <w:szCs w:val="32"/>
          <w:lang w:val="en-US" w:eastAsia="zh-CN"/>
          <w14:textFill>
            <w14:solidFill>
              <w14:schemeClr w14:val="tx1"/>
            </w14:solidFill>
          </w14:textFill>
        </w:rPr>
        <w:t>升级渔港、美食街等消费载体，在核心景区布局美食集聚区，</w:t>
      </w:r>
      <w:r>
        <w:rPr>
          <w:rFonts w:hint="eastAsia" w:cs="仿宋_GB2312"/>
          <w:b w:val="0"/>
          <w:bCs w:val="0"/>
          <w:color w:val="000000" w:themeColor="text1"/>
          <w:sz w:val="32"/>
          <w:szCs w:val="32"/>
          <w:lang w:val="en-US" w:eastAsia="zh-CN"/>
          <w14:textFill>
            <w14:solidFill>
              <w14:schemeClr w14:val="tx1"/>
            </w14:solidFill>
          </w14:textFill>
        </w:rPr>
        <w:t>打造</w:t>
      </w:r>
      <w:r>
        <w:rPr>
          <w:rFonts w:hint="default" w:cs="仿宋_GB2312"/>
          <w:b w:val="0"/>
          <w:bCs w:val="0"/>
          <w:color w:val="000000" w:themeColor="text1"/>
          <w:sz w:val="32"/>
          <w:szCs w:val="32"/>
          <w:lang w:val="en-US" w:eastAsia="zh-CN"/>
          <w14:textFill>
            <w14:solidFill>
              <w14:schemeClr w14:val="tx1"/>
            </w14:solidFill>
          </w14:textFill>
        </w:rPr>
        <w:t>沉浸式体验场景；推动“美食+会展/赛事/免税”跨界融合，举办美食节等活动，联动电商开发伴手礼与直播业态，延伸全产业链条，打造海南东部美食消费目的地。</w:t>
      </w:r>
    </w:p>
    <w:p w14:paraId="0A6D78F2">
      <w:pPr>
        <w:pStyle w:val="4"/>
        <w:shd w:val="clear"/>
        <w:ind w:firstLine="479"/>
        <w:rPr>
          <w:rFonts w:hint="eastAsia"/>
          <w:color w:val="auto"/>
          <w:highlight w:val="none"/>
          <w:lang w:val="en-US" w:eastAsia="zh-CN"/>
        </w:rPr>
      </w:pPr>
      <w:r>
        <w:rPr>
          <w:rFonts w:hint="eastAsia"/>
          <w:color w:val="auto"/>
          <w:highlight w:val="none"/>
          <w:lang w:val="en-US" w:eastAsia="zh-CN"/>
        </w:rPr>
        <w:t>（三）做优“研学+旅游”</w:t>
      </w:r>
    </w:p>
    <w:p w14:paraId="67B1730F">
      <w:pPr>
        <w:ind w:left="0" w:leftChars="0" w:firstLine="640" w:firstLineChars="200"/>
        <w:rPr>
          <w:rFonts w:hint="default" w:cs="仿宋_GB2312"/>
          <w:b w:val="0"/>
          <w:bCs w:val="0"/>
          <w:color w:val="000000" w:themeColor="text1"/>
          <w:sz w:val="32"/>
          <w:szCs w:val="32"/>
          <w:lang w:val="en-US" w:eastAsia="zh-CN"/>
          <w14:textFill>
            <w14:solidFill>
              <w14:schemeClr w14:val="tx1"/>
            </w14:solidFill>
          </w14:textFill>
        </w:rPr>
      </w:pPr>
      <w:r>
        <w:rPr>
          <w:rFonts w:hint="eastAsia" w:cs="仿宋_GB2312"/>
          <w:b w:val="0"/>
          <w:bCs w:val="0"/>
          <w:color w:val="000000" w:themeColor="text1"/>
          <w:sz w:val="32"/>
          <w:szCs w:val="32"/>
          <w:lang w:val="en-US" w:eastAsia="zh-CN"/>
          <w14:textFill>
            <w14:solidFill>
              <w14:schemeClr w14:val="tx1"/>
            </w14:solidFill>
          </w14:textFill>
        </w:rPr>
        <w:t>依托红色文化、海洋资源、侨乡特色、热带生态、地质风貌五大核心禀赋，构建“主题鲜明、学游融合、全域联动”的研学旅游体系。以六连岭革命纪念地、大石岭村党史馆等为核心，开展琼崖革命史学习、乡村劳作体验等课程，传承红色基因，打造红色教育主题研学产品；串联港北小海、石梅湾、日月湾等湾区资源，开发海岸带生态观测、冲浪运动教学、海洋渔耕文化体验等课程，打造海洋科普主题研学产品；以兴隆热带植物园、兴隆热带药用植物园为载体，依托“博士大讲堂”品牌，开展热带植物认知、可可/咖啡加工体验、生态保护实践等课程，打造热带生态主题研学产品；整合兴隆华侨农场展览馆、巴厘村、咖啡谷等资源，开发归侨历史学习、咖啡制作体验、南洋文化探究等课程，传承侨乡文化精神，打造侨乡文化主题研学产品；依托东山岭花岗岩地貌、大花角海蚀地貌等地质资源，开展岩石识别、地貌形成探究等课程，打造地质科考主题研学产品。开发“研学+运动”“研学+农事”等跨界产品，对接研学市场，推出“一程多站”研学线路，打造“学游万宁”研学品牌。</w:t>
      </w:r>
    </w:p>
    <w:p w14:paraId="7ACAE73A">
      <w:pPr>
        <w:pStyle w:val="4"/>
        <w:shd w:val="clear"/>
        <w:ind w:firstLine="479"/>
        <w:rPr>
          <w:rFonts w:hint="default"/>
          <w:color w:val="auto"/>
          <w:highlight w:val="none"/>
          <w:lang w:val="en-US" w:eastAsia="zh-CN"/>
        </w:rPr>
      </w:pPr>
      <w:r>
        <w:rPr>
          <w:rFonts w:hint="eastAsia"/>
          <w:color w:val="auto"/>
          <w:highlight w:val="none"/>
          <w:lang w:val="en-US" w:eastAsia="zh-CN"/>
        </w:rPr>
        <w:t>（四）培育“影视+文旅”</w:t>
      </w:r>
    </w:p>
    <w:p w14:paraId="397E2749">
      <w:pPr>
        <w:ind w:left="0" w:leftChars="0" w:firstLine="640" w:firstLineChars="20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以“IP引领、场景赋能、产业联动”为核心，构建“以影带游、以游促影”发展格局</w:t>
      </w:r>
      <w:r>
        <w:rPr>
          <w:rFonts w:hint="eastAsia" w:cs="仿宋_GB2312"/>
          <w:b w:val="0"/>
          <w:bCs w:val="0"/>
          <w:color w:val="000000" w:themeColor="text1"/>
          <w:sz w:val="32"/>
          <w:szCs w:val="32"/>
          <w:lang w:val="en-US" w:eastAsia="zh-CN"/>
          <w14:textFill>
            <w14:solidFill>
              <w14:schemeClr w14:val="tx1"/>
            </w14:solidFill>
          </w14:textFill>
        </w:rPr>
        <w:t>。完善影视拍摄服务体系，出台剧组来万宁拍摄补贴政策，提供场地协调、器材租赁等一站式服务，吸引影视机构落地，打造海南东部优质影视拍摄基地。以《非诚勿扰2》《消失的她》等</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头部影视IP为核心</w:t>
      </w:r>
      <w:r>
        <w:rPr>
          <w:rFonts w:hint="eastAsia"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串联</w:t>
      </w:r>
      <w:r>
        <w:rPr>
          <w:rFonts w:hint="eastAsia" w:cs="仿宋_GB2312"/>
          <w:b w:val="0"/>
          <w:bCs w:val="0"/>
          <w:color w:val="000000" w:themeColor="text1"/>
          <w:sz w:val="32"/>
          <w:szCs w:val="32"/>
          <w:lang w:val="en-US" w:eastAsia="zh-CN"/>
          <w14:textFill>
            <w14:solidFill>
              <w14:schemeClr w14:val="tx1"/>
            </w14:solidFill>
          </w14:textFill>
        </w:rPr>
        <w:t>日月湾、石梅湾、神州半岛、兴隆旅游区等核心取景地，推出影视旅游打卡地图、沉浸式主题巡礼线路。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推动“影视+文旅+商业”融合，开发文创衍生品、主题餐饮住宿等，策划举办影视文化节、影视主题市集等活动。开发剧本娱乐、</w:t>
      </w:r>
      <w:r>
        <w:rPr>
          <w:rFonts w:hint="eastAsia" w:cs="仿宋_GB2312"/>
          <w:b w:val="0"/>
          <w:bCs w:val="0"/>
          <w:color w:val="000000" w:themeColor="text1"/>
          <w:sz w:val="32"/>
          <w:szCs w:val="32"/>
          <w:lang w:val="en-US" w:eastAsia="zh-CN"/>
          <w14:textFill>
            <w14:solidFill>
              <w14:schemeClr w14:val="tx1"/>
            </w14:solidFill>
          </w14:textFill>
        </w:rPr>
        <w:t>换</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装旅拍等沉浸式互动影视旅游产品。</w:t>
      </w:r>
    </w:p>
    <w:p w14:paraId="4F021E10">
      <w:pPr>
        <w:pStyle w:val="4"/>
        <w:shd w:val="clear"/>
        <w:ind w:firstLine="479"/>
        <w:rPr>
          <w:rFonts w:hint="default"/>
          <w:color w:val="auto"/>
          <w:highlight w:val="none"/>
          <w:lang w:val="en-US" w:eastAsia="zh-CN"/>
        </w:rPr>
      </w:pPr>
      <w:r>
        <w:rPr>
          <w:rFonts w:hint="eastAsia"/>
          <w:color w:val="auto"/>
          <w:highlight w:val="none"/>
          <w:lang w:val="en-US" w:eastAsia="zh-CN"/>
        </w:rPr>
        <w:t>（五）创新“科技+文旅”</w:t>
      </w:r>
    </w:p>
    <w:p w14:paraId="73759471">
      <w:pPr>
        <w:ind w:left="0" w:leftChars="0" w:firstLine="640" w:firstLineChars="20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坚持科技赋能，培育壮大旅游消费新业态</w:t>
      </w:r>
      <w:r>
        <w:rPr>
          <w:rFonts w:hint="eastAsia"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新场景。加快智慧旅游</w:t>
      </w:r>
      <w:r>
        <w:rPr>
          <w:rFonts w:hint="eastAsia" w:cs="仿宋_GB2312"/>
          <w:b w:val="0"/>
          <w:bCs w:val="0"/>
          <w:color w:val="000000" w:themeColor="text1"/>
          <w:sz w:val="32"/>
          <w:szCs w:val="32"/>
          <w:lang w:val="en-US" w:eastAsia="zh-CN"/>
          <w14:textFill>
            <w14:solidFill>
              <w14:schemeClr w14:val="tx1"/>
            </w14:solidFill>
          </w14:textFill>
        </w:rPr>
        <w:t>升级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，开发数字人讲解、智能导览、数字导购等服务，推动景区、度假区、文化场馆等智慧化改造。</w:t>
      </w:r>
      <w:r>
        <w:rPr>
          <w:rFonts w:hint="eastAsia" w:cs="仿宋_GB2312"/>
          <w:b w:val="0"/>
          <w:bCs w:val="0"/>
          <w:color w:val="000000" w:themeColor="text1"/>
          <w:sz w:val="32"/>
          <w:szCs w:val="32"/>
          <w:lang w:val="en-US" w:eastAsia="zh-CN"/>
          <w14:textFill>
            <w14:solidFill>
              <w14:schemeClr w14:val="tx1"/>
            </w14:solidFill>
          </w14:textFill>
        </w:rPr>
        <w:t>深化AI</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、VR/AR、元宇宙、数字光影等高新技术的应用，打造智慧化沉浸式体验空间。</w:t>
      </w:r>
      <w:r>
        <w:rPr>
          <w:rFonts w:hint="eastAsia" w:cs="仿宋_GB2312"/>
          <w:b w:val="0"/>
          <w:bCs w:val="0"/>
          <w:color w:val="000000" w:themeColor="text1"/>
          <w:sz w:val="32"/>
          <w:szCs w:val="32"/>
          <w:lang w:val="en-US" w:eastAsia="zh-CN"/>
          <w14:textFill>
            <w14:solidFill>
              <w14:schemeClr w14:val="tx1"/>
            </w14:solidFill>
          </w14:textFill>
        </w:rPr>
        <w:t>联动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高新技术企业</w:t>
      </w:r>
      <w:r>
        <w:rPr>
          <w:rFonts w:hint="eastAsia" w:cs="仿宋_GB2312"/>
          <w:b w:val="0"/>
          <w:bCs w:val="0"/>
          <w:color w:val="000000" w:themeColor="text1"/>
          <w:sz w:val="32"/>
          <w:szCs w:val="32"/>
          <w:lang w:val="en-US" w:eastAsia="zh-CN"/>
          <w14:textFill>
            <w14:solidFill>
              <w14:schemeClr w14:val="tx1"/>
            </w14:solidFill>
          </w14:textFill>
        </w:rPr>
        <w:t>开放</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科技展厅、体验中心，打造“空天地海”一体的科技旅游新场景。</w:t>
      </w:r>
    </w:p>
    <w:p w14:paraId="5CC5A5B5">
      <w:pPr>
        <w:pStyle w:val="3"/>
        <w:shd w:val="clear"/>
        <w:spacing w:before="62" w:after="93"/>
        <w:ind w:firstLine="643"/>
        <w:jc w:val="left"/>
        <w:rPr>
          <w:rFonts w:hint="default"/>
          <w:b w:val="0"/>
          <w:bCs/>
          <w:color w:val="auto"/>
          <w:highlight w:val="none"/>
          <w:lang w:val="en-US" w:eastAsia="zh-CN"/>
        </w:rPr>
      </w:pPr>
      <w:bookmarkStart w:id="82" w:name="_Toc7423"/>
      <w:bookmarkStart w:id="83" w:name="_Toc17885"/>
      <w:bookmarkStart w:id="84" w:name="_Toc29787"/>
      <w:r>
        <w:rPr>
          <w:rFonts w:hint="eastAsia"/>
          <w:b w:val="0"/>
          <w:bCs/>
          <w:color w:val="auto"/>
          <w:highlight w:val="none"/>
          <w:lang w:val="en-US" w:eastAsia="zh-CN"/>
        </w:rPr>
        <w:t>三、培育四类旅游</w:t>
      </w:r>
      <w:r>
        <w:rPr>
          <w:rFonts w:hint="default"/>
          <w:b w:val="0"/>
          <w:bCs/>
          <w:color w:val="auto"/>
          <w:highlight w:val="none"/>
          <w:lang w:val="en-US" w:eastAsia="zh-CN"/>
        </w:rPr>
        <w:t>目的地品牌</w:t>
      </w:r>
      <w:bookmarkEnd w:id="82"/>
      <w:bookmarkEnd w:id="83"/>
      <w:bookmarkEnd w:id="84"/>
    </w:p>
    <w:p w14:paraId="666C22E0">
      <w:pPr>
        <w:pStyle w:val="4"/>
        <w:shd w:val="clear"/>
        <w:ind w:firstLine="479"/>
        <w:rPr>
          <w:rFonts w:hint="eastAsia"/>
          <w:color w:val="auto"/>
          <w:highlight w:val="none"/>
          <w:lang w:val="en-US" w:eastAsia="zh-CN"/>
        </w:rPr>
      </w:pPr>
      <w:r>
        <w:rPr>
          <w:rFonts w:hint="eastAsia"/>
          <w:color w:val="auto"/>
          <w:highlight w:val="none"/>
          <w:lang w:val="en-US" w:eastAsia="zh-CN"/>
        </w:rPr>
        <w:t>（一）</w:t>
      </w:r>
      <w:r>
        <w:rPr>
          <w:rFonts w:hint="default"/>
          <w:color w:val="auto"/>
          <w:highlight w:val="none"/>
          <w:lang w:val="en-US" w:eastAsia="zh-CN"/>
        </w:rPr>
        <w:t>旅游景区</w:t>
      </w:r>
      <w:r>
        <w:rPr>
          <w:rFonts w:hint="eastAsia"/>
          <w:color w:val="auto"/>
          <w:highlight w:val="none"/>
          <w:lang w:val="en-US" w:eastAsia="zh-CN"/>
        </w:rPr>
        <w:t>焕新迭代</w:t>
      </w:r>
    </w:p>
    <w:p w14:paraId="7D1BE669">
      <w:pPr>
        <w:rPr>
          <w:rFonts w:hint="default" w:cs="仿宋_GB2312"/>
          <w:b w:val="0"/>
          <w:bCs w:val="0"/>
          <w:lang w:val="en-US" w:eastAsia="zh-CN"/>
        </w:rPr>
      </w:pPr>
      <w:r>
        <w:rPr>
          <w:rFonts w:hint="default" w:cs="仿宋_GB2312"/>
          <w:b w:val="0"/>
          <w:bCs w:val="0"/>
          <w:lang w:val="en-US" w:eastAsia="zh-CN"/>
        </w:rPr>
        <w:t>推动A级旅游景区焕新升级，实施精品化、适老化、智能化改造，补齐休闲度假、二次消费、场景营造等短板。持续健全景区品牌等级梯队，增强</w:t>
      </w:r>
      <w:r>
        <w:rPr>
          <w:rFonts w:hint="eastAsia" w:cs="仿宋_GB2312"/>
          <w:b w:val="0"/>
          <w:bCs w:val="0"/>
          <w:lang w:val="en-US" w:eastAsia="zh-CN"/>
        </w:rPr>
        <w:t>市</w:t>
      </w:r>
      <w:r>
        <w:rPr>
          <w:rFonts w:hint="default" w:cs="仿宋_GB2312"/>
          <w:b w:val="0"/>
          <w:bCs w:val="0"/>
          <w:lang w:val="en-US" w:eastAsia="zh-CN"/>
        </w:rPr>
        <w:t>域旅游吸引力与承载力。重点支持万宁兴隆热带植物园创建国家5A级旅游景区，推动东山岭文化旅游区</w:t>
      </w:r>
      <w:r>
        <w:rPr>
          <w:rFonts w:hint="eastAsia" w:cs="仿宋_GB2312"/>
          <w:b w:val="0"/>
          <w:bCs w:val="0"/>
          <w:lang w:val="en-US" w:eastAsia="zh-CN"/>
        </w:rPr>
        <w:t>、</w:t>
      </w:r>
      <w:r>
        <w:rPr>
          <w:rFonts w:hint="default" w:cs="仿宋_GB2312"/>
          <w:b w:val="0"/>
          <w:bCs w:val="0"/>
          <w:lang w:val="en-US" w:eastAsia="zh-CN"/>
        </w:rPr>
        <w:t>兴隆咖啡文化</w:t>
      </w:r>
      <w:r>
        <w:rPr>
          <w:rFonts w:hint="eastAsia" w:cs="仿宋_GB2312"/>
          <w:b w:val="0"/>
          <w:bCs w:val="0"/>
          <w:lang w:val="en-US" w:eastAsia="zh-CN"/>
        </w:rPr>
        <w:t>产业</w:t>
      </w:r>
      <w:r>
        <w:rPr>
          <w:rFonts w:hint="default" w:cs="仿宋_GB2312"/>
          <w:b w:val="0"/>
          <w:bCs w:val="0"/>
          <w:lang w:val="en-US" w:eastAsia="zh-CN"/>
        </w:rPr>
        <w:t>园</w:t>
      </w:r>
      <w:r>
        <w:rPr>
          <w:rFonts w:hint="eastAsia" w:cs="仿宋_GB2312"/>
          <w:b w:val="0"/>
          <w:bCs w:val="0"/>
          <w:lang w:val="en-US" w:eastAsia="zh-CN"/>
        </w:rPr>
        <w:t>、巴厘村</w:t>
      </w:r>
      <w:r>
        <w:rPr>
          <w:rFonts w:hint="default" w:cs="仿宋_GB2312"/>
          <w:b w:val="0"/>
          <w:bCs w:val="0"/>
          <w:lang w:val="en-US" w:eastAsia="zh-CN"/>
        </w:rPr>
        <w:t>创建国家4A级旅游景区，鼓励</w:t>
      </w:r>
      <w:r>
        <w:rPr>
          <w:rFonts w:hint="default" w:cs="仿宋_GB2312"/>
          <w:color w:val="000000" w:themeColor="text1"/>
          <w14:textFill>
            <w14:solidFill>
              <w14:schemeClr w14:val="tx1"/>
            </w14:solidFill>
          </w14:textFill>
        </w:rPr>
        <w:t>吉纳客咖啡博物馆</w:t>
      </w:r>
      <w:r>
        <w:rPr>
          <w:rFonts w:hint="default" w:cs="仿宋_GB2312"/>
          <w:b w:val="0"/>
          <w:bCs w:val="0"/>
          <w:lang w:val="en-US" w:eastAsia="zh-CN"/>
        </w:rPr>
        <w:t>创建国家3A级旅游景区。</w:t>
      </w:r>
      <w:r>
        <w:rPr>
          <w:rFonts w:hint="eastAsia" w:cs="仿宋_GB2312"/>
          <w:b w:val="0"/>
          <w:bCs w:val="0"/>
          <w:lang w:val="en-US" w:eastAsia="zh-CN"/>
        </w:rPr>
        <w:t>力争在“</w:t>
      </w:r>
      <w:r>
        <w:rPr>
          <w:rFonts w:hint="default" w:cs="仿宋_GB2312"/>
          <w:b w:val="0"/>
          <w:bCs w:val="0"/>
          <w:lang w:val="en-US" w:eastAsia="zh-CN"/>
        </w:rPr>
        <w:t>十五五”期间，</w:t>
      </w:r>
      <w:r>
        <w:rPr>
          <w:rFonts w:hint="eastAsia" w:cs="仿宋_GB2312"/>
          <w:b w:val="0"/>
          <w:bCs w:val="0"/>
          <w:lang w:val="en-US" w:eastAsia="zh-CN"/>
        </w:rPr>
        <w:t>培育申报</w:t>
      </w:r>
      <w:r>
        <w:rPr>
          <w:rFonts w:hint="default" w:cs="仿宋_GB2312"/>
          <w:b w:val="0"/>
          <w:bCs w:val="0"/>
          <w:lang w:val="en-US" w:eastAsia="zh-CN"/>
        </w:rPr>
        <w:t>1家国家</w:t>
      </w:r>
      <w:r>
        <w:rPr>
          <w:rFonts w:hint="eastAsia" w:cs="仿宋_GB2312"/>
          <w:b w:val="0"/>
          <w:bCs w:val="0"/>
          <w:lang w:val="en-US" w:eastAsia="zh-CN"/>
        </w:rPr>
        <w:t>5</w:t>
      </w:r>
      <w:r>
        <w:rPr>
          <w:rFonts w:hint="default" w:cs="仿宋_GB2312"/>
          <w:b w:val="0"/>
          <w:bCs w:val="0"/>
          <w:lang w:val="en-US" w:eastAsia="zh-CN"/>
        </w:rPr>
        <w:t>A级旅游景区</w:t>
      </w:r>
      <w:r>
        <w:rPr>
          <w:rFonts w:hint="eastAsia" w:cs="仿宋_GB2312"/>
          <w:b w:val="0"/>
          <w:bCs w:val="0"/>
          <w:lang w:val="en-US" w:eastAsia="zh-CN"/>
        </w:rPr>
        <w:t>，争取成功创建1家国家4A级旅游景区</w:t>
      </w:r>
      <w:r>
        <w:rPr>
          <w:rFonts w:hint="default" w:cs="仿宋_GB2312"/>
          <w:b w:val="0"/>
          <w:bCs w:val="0"/>
          <w:lang w:val="en-US" w:eastAsia="zh-CN"/>
        </w:rPr>
        <w:t>，至少2家国家3A级旅游景区。</w:t>
      </w:r>
    </w:p>
    <w:p w14:paraId="4E172833">
      <w:pPr>
        <w:pStyle w:val="4"/>
        <w:shd w:val="clear"/>
        <w:ind w:firstLine="479"/>
        <w:rPr>
          <w:rFonts w:hint="default"/>
          <w:color w:val="auto"/>
          <w:highlight w:val="none"/>
          <w:lang w:val="en-US" w:eastAsia="zh-CN"/>
        </w:rPr>
      </w:pPr>
      <w:r>
        <w:rPr>
          <w:rFonts w:hint="eastAsia"/>
          <w:color w:val="auto"/>
          <w:highlight w:val="none"/>
          <w:lang w:val="en-US" w:eastAsia="zh-CN"/>
        </w:rPr>
        <w:t>（二）</w:t>
      </w:r>
      <w:r>
        <w:rPr>
          <w:rFonts w:hint="default"/>
          <w:color w:val="auto"/>
          <w:highlight w:val="none"/>
          <w:lang w:val="en-US" w:eastAsia="zh-CN"/>
        </w:rPr>
        <w:t>旅游度假区</w:t>
      </w:r>
      <w:r>
        <w:rPr>
          <w:rFonts w:hint="eastAsia"/>
          <w:color w:val="auto"/>
          <w:highlight w:val="none"/>
          <w:lang w:val="en-US" w:eastAsia="zh-CN"/>
        </w:rPr>
        <w:t>创新</w:t>
      </w:r>
      <w:r>
        <w:rPr>
          <w:rFonts w:hint="default"/>
          <w:color w:val="auto"/>
          <w:highlight w:val="none"/>
          <w:lang w:val="en-US" w:eastAsia="zh-CN"/>
        </w:rPr>
        <w:t>升级</w:t>
      </w:r>
    </w:p>
    <w:p w14:paraId="0618C382">
      <w:pPr>
        <w:rPr>
          <w:rFonts w:hint="default" w:cs="仿宋_GB2312"/>
          <w:b w:val="0"/>
          <w:bCs w:val="0"/>
          <w:highlight w:val="yellow"/>
          <w:lang w:val="en-US" w:eastAsia="zh-CN"/>
        </w:rPr>
      </w:pPr>
      <w:r>
        <w:rPr>
          <w:rFonts w:hint="eastAsia" w:cs="仿宋_GB2312"/>
          <w:b w:val="0"/>
          <w:bCs w:val="0"/>
          <w:lang w:val="en-US" w:eastAsia="zh-CN"/>
        </w:rPr>
        <w:t>深度挖掘热带滨海等元素，突出各旅游度假区主题特色，打造具有万宁独特魅力和辨识度的旅游度假区品牌，整合旅游资源，完善配套供给，构建度假酒店、精品民宿等高品质住宿体系，优化万宁特色餐饮服务体系，升级一批集合高端住宿、滨海运动、休闲娱乐、免税购物等功能的旅游集聚区。在“十五五”期间，推动日月湾创建省级旅游度假区和国家级旅游度假区，神州半岛、海南盖娅康养圣地创建省级旅游度假区，</w:t>
      </w:r>
      <w:r>
        <w:rPr>
          <w:rFonts w:hint="eastAsia" w:cs="仿宋_GB2312"/>
          <w:highlight w:val="none"/>
        </w:rPr>
        <w:t>兴隆</w:t>
      </w:r>
      <w:r>
        <w:rPr>
          <w:rFonts w:hint="eastAsia" w:cs="仿宋_GB2312"/>
          <w:highlight w:val="none"/>
          <w:lang w:val="en-US" w:eastAsia="zh-CN"/>
        </w:rPr>
        <w:t>旅游</w:t>
      </w:r>
      <w:r>
        <w:rPr>
          <w:rFonts w:hint="eastAsia" w:cs="仿宋_GB2312"/>
          <w:highlight w:val="none"/>
        </w:rPr>
        <w:t>区</w:t>
      </w:r>
      <w:r>
        <w:rPr>
          <w:rFonts w:hint="eastAsia" w:cs="仿宋_GB2312"/>
          <w:highlight w:val="none"/>
          <w:lang w:eastAsia="zh-CN"/>
        </w:rPr>
        <w:t>、</w:t>
      </w:r>
      <w:r>
        <w:rPr>
          <w:rFonts w:hint="eastAsia" w:cs="仿宋_GB2312"/>
        </w:rPr>
        <w:t>神州半岛北岸、后安镇乡村旅游区创建省级</w:t>
      </w:r>
      <w:r>
        <w:rPr>
          <w:rFonts w:hint="eastAsia" w:cs="仿宋_GB2312"/>
          <w:lang w:val="en-US" w:eastAsia="zh-CN"/>
        </w:rPr>
        <w:t>乡村</w:t>
      </w:r>
      <w:r>
        <w:rPr>
          <w:rFonts w:hint="eastAsia" w:cs="仿宋_GB2312"/>
        </w:rPr>
        <w:t>旅游度假区。力争在“十五五”期间创建</w:t>
      </w:r>
      <w:r>
        <w:rPr>
          <w:rFonts w:hint="eastAsia" w:cs="仿宋_GB2312"/>
          <w:b w:val="0"/>
          <w:bCs w:val="0"/>
          <w:lang w:val="en-US" w:eastAsia="zh-CN"/>
        </w:rPr>
        <w:t>力争新增至少1家省级旅游度假区和</w:t>
      </w:r>
      <w:r>
        <w:rPr>
          <w:rFonts w:hint="eastAsia" w:cs="仿宋_GB2312"/>
          <w:highlight w:val="none"/>
        </w:rPr>
        <w:t>1家</w:t>
      </w:r>
      <w:r>
        <w:rPr>
          <w:rFonts w:hint="eastAsia" w:cs="仿宋_GB2312"/>
          <w:highlight w:val="none"/>
          <w:lang w:val="en-US" w:eastAsia="zh-CN"/>
        </w:rPr>
        <w:t>省级</w:t>
      </w:r>
      <w:r>
        <w:rPr>
          <w:rFonts w:hint="eastAsia" w:cs="仿宋_GB2312"/>
          <w:highlight w:val="none"/>
        </w:rPr>
        <w:t>乡村旅游度假区。</w:t>
      </w:r>
    </w:p>
    <w:p w14:paraId="5F612642">
      <w:pPr>
        <w:pStyle w:val="4"/>
        <w:shd w:val="clear"/>
        <w:ind w:firstLine="479"/>
        <w:rPr>
          <w:rFonts w:hint="default"/>
          <w:color w:val="auto"/>
          <w:highlight w:val="none"/>
          <w:lang w:val="en-US" w:eastAsia="zh-CN"/>
        </w:rPr>
      </w:pPr>
      <w:r>
        <w:rPr>
          <w:rFonts w:hint="eastAsia"/>
          <w:color w:val="auto"/>
          <w:highlight w:val="none"/>
          <w:lang w:val="en-US" w:eastAsia="zh-CN"/>
        </w:rPr>
        <w:t>（三）</w:t>
      </w:r>
      <w:r>
        <w:rPr>
          <w:rFonts w:hint="default"/>
          <w:color w:val="auto"/>
          <w:highlight w:val="none"/>
          <w:lang w:val="en-US" w:eastAsia="zh-CN"/>
        </w:rPr>
        <w:t>特色街区提振跃升</w:t>
      </w:r>
    </w:p>
    <w:p w14:paraId="56B7068E">
      <w:pPr>
        <w:rPr>
          <w:rFonts w:hint="eastAsia" w:ascii="仿宋_GB2312" w:hAnsi="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cs="仿宋_GB2312"/>
          <w:b w:val="0"/>
          <w:bCs w:val="0"/>
          <w:color w:val="000000" w:themeColor="text1"/>
          <w:sz w:val="32"/>
          <w:szCs w:val="32"/>
          <w:lang w:val="en-US" w:eastAsia="zh-CN"/>
          <w14:textFill>
            <w14:solidFill>
              <w14:schemeClr w14:val="tx1"/>
            </w14:solidFill>
          </w14:textFill>
        </w:rPr>
        <w:t>结合城市更新、乡村振兴，推进石梅湾九里旅游休闲街区</w:t>
      </w:r>
      <w:r>
        <w:rPr>
          <w:rFonts w:hint="eastAsia"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兴隆1951侨乡风情夜市</w:t>
      </w:r>
      <w:r>
        <w:rPr>
          <w:rFonts w:hint="eastAsia" w:cs="仿宋_GB2312"/>
          <w:b w:val="0"/>
          <w:bCs w:val="0"/>
          <w:color w:val="000000" w:themeColor="text1"/>
          <w:sz w:val="32"/>
          <w:szCs w:val="32"/>
          <w:lang w:val="en-US" w:eastAsia="zh-CN"/>
          <w14:textFill>
            <w14:solidFill>
              <w14:schemeClr w14:val="tx1"/>
            </w14:solidFill>
          </w14:textFill>
        </w:rPr>
        <w:t>、神州半岛商业街</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提质升级，加快推动</w:t>
      </w:r>
      <w:r>
        <w:rPr>
          <w:rFonts w:hint="eastAsia" w:cs="仿宋_GB2312"/>
          <w:b w:val="0"/>
          <w:bCs w:val="0"/>
          <w:color w:val="000000" w:themeColor="text1"/>
          <w:sz w:val="32"/>
          <w:szCs w:val="32"/>
          <w:lang w:val="en-US" w:eastAsia="zh-CN"/>
          <w14:textFill>
            <w14:solidFill>
              <w14:schemeClr w14:val="tx1"/>
            </w14:solidFill>
          </w14:textFill>
        </w:rPr>
        <w:t>滨海沿线</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酒店住宿、景观环境、通海廊道、道路交通和服务保障设施升级，规划布局高品质旅游休闲街区</w:t>
      </w:r>
      <w:r>
        <w:rPr>
          <w:rFonts w:hint="eastAsia"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cs="仿宋_GB2312"/>
          <w:b w:val="0"/>
          <w:bCs w:val="0"/>
          <w:color w:val="000000" w:themeColor="text1"/>
          <w:sz w:val="32"/>
          <w:szCs w:val="32"/>
          <w:lang w:val="en-US" w:eastAsia="zh-CN"/>
          <w14:textFill>
            <w14:solidFill>
              <w14:schemeClr w14:val="tx1"/>
            </w14:solidFill>
          </w14:textFill>
        </w:rPr>
        <w:t>增加街区表演等夜间休闲娱乐元素，形成集美食消费、文化体验、休闲娱乐于一体的夜间消费场景，延长游客停留时间，激发夜间消费活力。</w:t>
      </w:r>
    </w:p>
    <w:p w14:paraId="01685F65">
      <w:pPr>
        <w:pStyle w:val="4"/>
        <w:shd w:val="clear"/>
        <w:ind w:firstLine="479"/>
        <w:rPr>
          <w:rFonts w:hint="default"/>
          <w:color w:val="auto"/>
          <w:highlight w:val="none"/>
          <w:lang w:val="en-US" w:eastAsia="zh-CN"/>
        </w:rPr>
      </w:pPr>
      <w:r>
        <w:rPr>
          <w:rFonts w:hint="eastAsia"/>
          <w:color w:val="auto"/>
          <w:highlight w:val="none"/>
          <w:lang w:val="en-US" w:eastAsia="zh-CN"/>
        </w:rPr>
        <w:t>（四）</w:t>
      </w:r>
      <w:r>
        <w:rPr>
          <w:rFonts w:hint="default"/>
          <w:color w:val="auto"/>
          <w:highlight w:val="none"/>
          <w:lang w:val="en-US" w:eastAsia="zh-CN"/>
        </w:rPr>
        <w:t>乡村旅游提质增效</w:t>
      </w:r>
    </w:p>
    <w:p w14:paraId="705EB0FC">
      <w:pPr>
        <w:rPr>
          <w:rFonts w:hint="default" w:cs="仿宋_GB2312"/>
          <w:b/>
          <w:bCs/>
          <w:lang w:val="en-US" w:eastAsia="zh-CN"/>
        </w:rPr>
      </w:pPr>
      <w:r>
        <w:rPr>
          <w:rFonts w:hint="default" w:cs="仿宋_GB2312"/>
          <w:b/>
          <w:bCs/>
          <w:lang w:val="en-US" w:eastAsia="zh-CN"/>
        </w:rPr>
        <w:t>推进全国乡村旅游重点村镇建设。</w:t>
      </w:r>
      <w:r>
        <w:rPr>
          <w:rFonts w:hint="default" w:cs="仿宋_GB2312"/>
          <w:b w:val="0"/>
          <w:bCs w:val="0"/>
          <w:lang w:val="en-US" w:eastAsia="zh-CN"/>
        </w:rPr>
        <w:t>打造文旅资源富集、产品特色鲜明、市场规范有序、配套服务完善、</w:t>
      </w:r>
      <w:r>
        <w:rPr>
          <w:rFonts w:hint="default" w:cs="仿宋_GB2312"/>
        </w:rPr>
        <w:t>村容宜居、乡风文明、带富成效突出的</w:t>
      </w:r>
      <w:r>
        <w:rPr>
          <w:rFonts w:hint="default" w:cs="仿宋_GB2312"/>
          <w:b w:val="0"/>
          <w:bCs w:val="0"/>
          <w:lang w:val="en-US" w:eastAsia="zh-CN"/>
        </w:rPr>
        <w:t>全国乡村旅游重点村镇，</w:t>
      </w:r>
      <w:r>
        <w:rPr>
          <w:rFonts w:hint="default" w:cs="仿宋_GB2312"/>
        </w:rPr>
        <w:t>发挥示范带动作用，推动乡村旅游高质量发展，满足人民群众美好生活需要。力争在“十五五”期间指导创建1</w:t>
      </w:r>
      <w:r>
        <w:rPr>
          <w:rFonts w:hint="eastAsia" w:cs="仿宋_GB2312"/>
          <w:lang w:val="en-US" w:eastAsia="zh-CN"/>
        </w:rPr>
        <w:t>-2</w:t>
      </w:r>
      <w:r>
        <w:rPr>
          <w:rFonts w:hint="default" w:cs="仿宋_GB2312"/>
        </w:rPr>
        <w:t>家全国乡村旅游重点村镇。</w:t>
      </w:r>
    </w:p>
    <w:p w14:paraId="3E4AAF2F">
      <w:pPr>
        <w:rPr>
          <w:rFonts w:hint="default" w:cs="仿宋_GB2312"/>
          <w:b w:val="0"/>
          <w:bCs w:val="0"/>
          <w:lang w:val="en-US" w:eastAsia="zh-CN"/>
        </w:rPr>
      </w:pPr>
      <w:r>
        <w:rPr>
          <w:rFonts w:hint="default" w:cs="仿宋_GB2312"/>
          <w:b/>
          <w:bCs/>
          <w:lang w:val="en-US" w:eastAsia="zh-CN"/>
        </w:rPr>
        <w:t>深化椰级乡村旅游点建设。</w:t>
      </w:r>
      <w:r>
        <w:rPr>
          <w:rFonts w:hint="default" w:cs="仿宋_GB2312"/>
          <w:b w:val="0"/>
          <w:bCs w:val="0"/>
          <w:lang w:val="en-US" w:eastAsia="zh-CN"/>
        </w:rPr>
        <w:t>持续开展椰级乡村旅游点评定工作，联合行业协会及专家组建专项工作组，</w:t>
      </w:r>
      <w:r>
        <w:rPr>
          <w:rFonts w:hint="eastAsia" w:cs="仿宋_GB2312"/>
          <w:b w:val="0"/>
          <w:bCs w:val="0"/>
          <w:lang w:val="en-US" w:eastAsia="zh-CN"/>
        </w:rPr>
        <w:t>以</w:t>
      </w:r>
      <w:r>
        <w:rPr>
          <w:rFonts w:hint="default" w:cs="仿宋_GB2312"/>
          <w:b w:val="0"/>
          <w:bCs w:val="0"/>
          <w:lang w:val="en-US" w:eastAsia="zh-CN"/>
        </w:rPr>
        <w:t>“调研+培训+整改”模式，提升乡村旅游服务品质，推动现有椰级乡村旅游点升级改造，挖掘</w:t>
      </w:r>
      <w:r>
        <w:rPr>
          <w:rFonts w:hint="eastAsia" w:cs="仿宋_GB2312"/>
          <w:b w:val="0"/>
          <w:bCs w:val="0"/>
          <w:lang w:val="en-US" w:eastAsia="zh-CN"/>
        </w:rPr>
        <w:t>培育</w:t>
      </w:r>
      <w:r>
        <w:rPr>
          <w:rFonts w:hint="default" w:cs="仿宋_GB2312"/>
          <w:b w:val="0"/>
          <w:bCs w:val="0"/>
          <w:lang w:val="en-US" w:eastAsia="zh-CN"/>
        </w:rPr>
        <w:t>潜力点</w:t>
      </w:r>
      <w:r>
        <w:rPr>
          <w:rFonts w:hint="eastAsia" w:cs="仿宋_GB2312"/>
          <w:b w:val="0"/>
          <w:bCs w:val="0"/>
          <w:lang w:val="en-US" w:eastAsia="zh-CN"/>
        </w:rPr>
        <w:t>申创</w:t>
      </w:r>
      <w:r>
        <w:rPr>
          <w:rFonts w:hint="default" w:cs="仿宋_GB2312"/>
          <w:b w:val="0"/>
          <w:bCs w:val="0"/>
          <w:lang w:val="en-US" w:eastAsia="zh-CN"/>
        </w:rPr>
        <w:t>。“十五五”期间，争取创建</w:t>
      </w:r>
      <w:r>
        <w:rPr>
          <w:rFonts w:hint="eastAsia" w:cs="仿宋_GB2312"/>
          <w:b w:val="0"/>
          <w:bCs w:val="0"/>
          <w:lang w:val="en-US" w:eastAsia="zh-CN"/>
        </w:rPr>
        <w:t>1</w:t>
      </w:r>
      <w:r>
        <w:rPr>
          <w:rFonts w:hint="default" w:cs="仿宋_GB2312"/>
          <w:b w:val="0"/>
          <w:bCs w:val="0"/>
          <w:lang w:val="en-US" w:eastAsia="zh-CN"/>
        </w:rPr>
        <w:t>家五椰级</w:t>
      </w:r>
      <w:r>
        <w:rPr>
          <w:rFonts w:hint="eastAsia" w:cs="仿宋_GB2312"/>
          <w:b w:val="0"/>
          <w:bCs w:val="0"/>
          <w:lang w:val="en-US" w:eastAsia="zh-CN"/>
        </w:rPr>
        <w:t>、2</w:t>
      </w:r>
      <w:r>
        <w:rPr>
          <w:rFonts w:hint="default" w:cs="仿宋_GB2312"/>
          <w:b w:val="0"/>
          <w:bCs w:val="0"/>
          <w:lang w:val="en-US" w:eastAsia="zh-CN"/>
        </w:rPr>
        <w:t>家四椰级</w:t>
      </w:r>
      <w:r>
        <w:rPr>
          <w:rFonts w:hint="eastAsia" w:cs="仿宋_GB2312"/>
          <w:b w:val="0"/>
          <w:bCs w:val="0"/>
          <w:lang w:val="en-US" w:eastAsia="zh-CN"/>
        </w:rPr>
        <w:t>、2-3</w:t>
      </w:r>
      <w:r>
        <w:rPr>
          <w:rFonts w:hint="default" w:cs="仿宋_GB2312"/>
          <w:b w:val="0"/>
          <w:bCs w:val="0"/>
          <w:lang w:val="en-US" w:eastAsia="zh-CN"/>
        </w:rPr>
        <w:t>家</w:t>
      </w:r>
      <w:r>
        <w:rPr>
          <w:rFonts w:hint="eastAsia" w:cs="仿宋_GB2312"/>
          <w:b w:val="0"/>
          <w:bCs w:val="0"/>
          <w:lang w:val="en-US" w:eastAsia="zh-CN"/>
        </w:rPr>
        <w:t>三</w:t>
      </w:r>
      <w:r>
        <w:rPr>
          <w:rFonts w:hint="default" w:cs="仿宋_GB2312"/>
          <w:b w:val="0"/>
          <w:bCs w:val="0"/>
          <w:lang w:val="en-US" w:eastAsia="zh-CN"/>
        </w:rPr>
        <w:t>椰级乡村旅游点，优化乡村旅游全域化发展格局。</w:t>
      </w:r>
    </w:p>
    <w:p w14:paraId="575DD040">
      <w:pPr>
        <w:rPr>
          <w:rFonts w:hint="default" w:cs="仿宋_GB2312"/>
          <w:b w:val="0"/>
          <w:bCs w:val="0"/>
          <w:lang w:val="en-US" w:eastAsia="zh-CN"/>
        </w:rPr>
      </w:pPr>
      <w:r>
        <w:rPr>
          <w:rFonts w:hint="default" w:cs="仿宋_GB2312"/>
          <w:b/>
          <w:bCs/>
          <w:lang w:val="en-US" w:eastAsia="zh-CN"/>
        </w:rPr>
        <w:t>提升优质乡村民宿产品供给。</w:t>
      </w:r>
      <w:r>
        <w:rPr>
          <w:rFonts w:hint="default" w:cs="仿宋_GB2312"/>
          <w:b w:val="0"/>
          <w:bCs w:val="0"/>
          <w:lang w:val="en-US" w:eastAsia="zh-CN"/>
        </w:rPr>
        <w:t>加大对民宿行业</w:t>
      </w:r>
      <w:r>
        <w:rPr>
          <w:rFonts w:hint="eastAsia" w:cs="仿宋_GB2312"/>
          <w:b w:val="0"/>
          <w:bCs w:val="0"/>
          <w:lang w:val="en-US" w:eastAsia="zh-CN"/>
        </w:rPr>
        <w:t>扶持</w:t>
      </w:r>
      <w:r>
        <w:rPr>
          <w:rFonts w:hint="default" w:cs="仿宋_GB2312"/>
          <w:b w:val="0"/>
          <w:bCs w:val="0"/>
          <w:lang w:val="en-US" w:eastAsia="zh-CN"/>
        </w:rPr>
        <w:t>力度，推进等级乡村民宿结构优化与能级跃升，补齐设施短板</w:t>
      </w:r>
      <w:r>
        <w:rPr>
          <w:rFonts w:hint="eastAsia" w:cs="仿宋_GB2312"/>
          <w:b w:val="0"/>
          <w:bCs w:val="0"/>
          <w:lang w:val="en-US" w:eastAsia="zh-CN"/>
        </w:rPr>
        <w:t>、</w:t>
      </w:r>
      <w:r>
        <w:rPr>
          <w:rFonts w:hint="default" w:cs="仿宋_GB2312"/>
          <w:b w:val="0"/>
          <w:bCs w:val="0"/>
          <w:lang w:val="en-US" w:eastAsia="zh-CN"/>
        </w:rPr>
        <w:t>丰富融合业态</w:t>
      </w:r>
      <w:r>
        <w:rPr>
          <w:rFonts w:hint="eastAsia" w:cs="仿宋_GB2312"/>
          <w:b w:val="0"/>
          <w:bCs w:val="0"/>
          <w:lang w:val="en-US" w:eastAsia="zh-CN"/>
        </w:rPr>
        <w:t>、</w:t>
      </w:r>
      <w:r>
        <w:rPr>
          <w:rFonts w:hint="default" w:cs="仿宋_GB2312"/>
          <w:b w:val="0"/>
          <w:bCs w:val="0"/>
          <w:lang w:val="en-US" w:eastAsia="zh-CN"/>
        </w:rPr>
        <w:t>强化品牌建设，培育高等级民宿集群、扩大优质民宿供给，推动</w:t>
      </w:r>
      <w:r>
        <w:rPr>
          <w:rFonts w:hint="eastAsia" w:cs="仿宋_GB2312"/>
          <w:b w:val="0"/>
          <w:bCs w:val="0"/>
          <w:lang w:val="en-US" w:eastAsia="zh-CN"/>
        </w:rPr>
        <w:t>全市</w:t>
      </w:r>
      <w:r>
        <w:rPr>
          <w:rFonts w:hint="default" w:cs="仿宋_GB2312"/>
          <w:b w:val="0"/>
          <w:bCs w:val="0"/>
          <w:lang w:val="en-US" w:eastAsia="zh-CN"/>
        </w:rPr>
        <w:t>等级民宿布局优化、总量扩容和品质升级。“十五五”期间，力争创建</w:t>
      </w:r>
      <w:r>
        <w:rPr>
          <w:rFonts w:hint="eastAsia" w:cs="仿宋_GB2312"/>
          <w:b w:val="0"/>
          <w:bCs w:val="0"/>
          <w:lang w:val="en-US" w:eastAsia="zh-CN"/>
        </w:rPr>
        <w:t>至少2</w:t>
      </w:r>
      <w:r>
        <w:rPr>
          <w:rFonts w:hint="default" w:cs="仿宋_GB2312"/>
          <w:b w:val="0"/>
          <w:bCs w:val="0"/>
          <w:lang w:val="en-US" w:eastAsia="zh-CN"/>
        </w:rPr>
        <w:t>家海南省等级乡村民宿</w:t>
      </w:r>
      <w:r>
        <w:rPr>
          <w:rFonts w:hint="eastAsia" w:cs="仿宋_GB2312"/>
          <w:b w:val="0"/>
          <w:bCs w:val="0"/>
          <w:lang w:val="en-US" w:eastAsia="zh-CN"/>
        </w:rPr>
        <w:t>，</w:t>
      </w:r>
      <w:r>
        <w:rPr>
          <w:rFonts w:hint="default" w:cs="仿宋_GB2312"/>
          <w:b w:val="0"/>
          <w:bCs w:val="0"/>
          <w:lang w:val="en-US" w:eastAsia="zh-CN"/>
        </w:rPr>
        <w:t>推动全国甲、乙级旅游民宿创建，实现乡村旅游接待能力和品质双提高。</w:t>
      </w: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342"/>
      </w:tblGrid>
      <w:tr w14:paraId="64CF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8342" w:type="dxa"/>
          </w:tcPr>
          <w:p w14:paraId="7096D0A8">
            <w:pPr>
              <w:numPr>
                <w:ilvl w:val="0"/>
                <w:numId w:val="1"/>
              </w:numPr>
              <w:snapToGrid w:val="0"/>
              <w:spacing w:line="240" w:lineRule="auto"/>
              <w:ind w:firstLineChars="0"/>
              <w:jc w:val="center"/>
              <w:rPr>
                <w:b/>
                <w:color w:val="auto"/>
                <w:sz w:val="24"/>
              </w:rPr>
            </w:pPr>
            <w:r>
              <w:rPr>
                <w:rFonts w:hint="eastAsia" w:ascii="黑体" w:hAnsi="黑体" w:eastAsia="黑体" w:cs="黑体"/>
                <w:bCs/>
                <w:color w:val="auto"/>
                <w:sz w:val="30"/>
                <w:szCs w:val="30"/>
              </w:rPr>
              <w:t xml:space="preserve"> 旅游核心吸引物培育名单</w:t>
            </w:r>
          </w:p>
        </w:tc>
      </w:tr>
      <w:tr w14:paraId="75E7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rPr>
        <w:tc>
          <w:tcPr>
            <w:tcW w:w="8342" w:type="dxa"/>
            <w:vAlign w:val="center"/>
          </w:tcPr>
          <w:p w14:paraId="4D8F3CA0">
            <w:pPr>
              <w:pStyle w:val="21"/>
              <w:snapToGrid w:val="0"/>
              <w:ind w:firstLine="482"/>
              <w:rPr>
                <w:rFonts w:hint="eastAsia" w:ascii="仿宋_GB2312" w:hAnsi="仿宋_GB2312" w:eastAsia="仿宋_GB2312" w:cs="仿宋_GB2312"/>
                <w:color w:val="auto"/>
              </w:rPr>
            </w:pPr>
            <w:r>
              <w:rPr>
                <w:rFonts w:hint="eastAsia" w:ascii="仿宋_GB2312" w:hAnsi="仿宋_GB2312" w:eastAsia="仿宋_GB2312" w:cs="仿宋_GB2312"/>
                <w:b/>
                <w:bCs/>
                <w:color w:val="auto"/>
              </w:rPr>
              <w:t>1.国家A级旅游景区培育名单：</w:t>
            </w:r>
            <w:r>
              <w:rPr>
                <w:rFonts w:hint="eastAsia" w:ascii="仿宋_GB2312" w:hAnsi="仿宋_GB2312" w:eastAsia="仿宋_GB2312" w:cs="仿宋_GB2312"/>
                <w:b w:val="0"/>
                <w:bCs w:val="0"/>
                <w:color w:val="auto"/>
                <w:lang w:val="en-US" w:eastAsia="zh-CN"/>
              </w:rPr>
              <w:t>支持</w:t>
            </w:r>
            <w:r>
              <w:rPr>
                <w:rFonts w:hint="eastAsia" w:ascii="仿宋_GB2312" w:hAnsi="仿宋_GB2312" w:eastAsia="仿宋_GB2312" w:cs="仿宋_GB2312"/>
                <w:color w:val="auto"/>
              </w:rPr>
              <w:t>万宁兴隆热带植物园</w:t>
            </w:r>
            <w:r>
              <w:rPr>
                <w:rFonts w:hint="eastAsia" w:ascii="仿宋_GB2312" w:hAnsi="仿宋_GB2312" w:eastAsia="仿宋_GB2312" w:cs="仿宋_GB2312"/>
                <w:color w:val="auto"/>
                <w:lang w:val="en-US" w:eastAsia="zh-CN"/>
              </w:rPr>
              <w:t>申报国家5A级旅游景区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推动</w:t>
            </w:r>
            <w:r>
              <w:rPr>
                <w:rFonts w:hint="eastAsia" w:ascii="仿宋_GB2312" w:hAnsi="仿宋_GB2312" w:eastAsia="仿宋_GB2312" w:cs="仿宋_GB2312"/>
                <w:color w:val="auto"/>
              </w:rPr>
              <w:t>东山岭文化旅游区、兴隆咖啡文化产业园</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巴厘村创建国家4A级旅游景区，</w:t>
            </w:r>
            <w:r>
              <w:rPr>
                <w:rFonts w:hint="eastAsia" w:ascii="仿宋_GB2312" w:hAnsi="仿宋_GB2312" w:eastAsia="仿宋_GB2312" w:cs="仿宋_GB2312"/>
                <w:color w:val="auto"/>
                <w:lang w:eastAsia="zh-CN"/>
              </w:rPr>
              <w:t>吉纳客咖啡博物馆</w:t>
            </w:r>
            <w:r>
              <w:rPr>
                <w:rFonts w:hint="eastAsia" w:ascii="仿宋_GB2312" w:hAnsi="仿宋_GB2312" w:eastAsia="仿宋_GB2312" w:cs="仿宋_GB2312"/>
                <w:color w:val="auto"/>
                <w:lang w:val="en-US" w:eastAsia="zh-CN"/>
              </w:rPr>
              <w:t>创建</w:t>
            </w:r>
            <w:r>
              <w:rPr>
                <w:rFonts w:hint="eastAsia" w:ascii="仿宋_GB2312" w:hAnsi="仿宋_GB2312" w:eastAsia="仿宋_GB2312" w:cs="仿宋_GB2312"/>
                <w:color w:val="auto"/>
              </w:rPr>
              <w:t>国家</w:t>
            </w:r>
            <w:r>
              <w:rPr>
                <w:rFonts w:hint="eastAsia" w:ascii="仿宋_GB2312" w:hAnsi="仿宋_GB2312" w:eastAsia="仿宋_GB2312" w:cs="仿宋_GB2312"/>
                <w:color w:val="auto"/>
                <w:lang w:eastAsia="zh-CN"/>
              </w:rPr>
              <w:t>3</w:t>
            </w:r>
            <w:r>
              <w:rPr>
                <w:rFonts w:hint="eastAsia" w:ascii="仿宋_GB2312" w:hAnsi="仿宋_GB2312" w:eastAsia="仿宋_GB2312" w:cs="仿宋_GB2312"/>
                <w:color w:val="auto"/>
              </w:rPr>
              <w:t>A级旅游景区</w:t>
            </w:r>
            <w:r>
              <w:rPr>
                <w:rFonts w:hint="eastAsia" w:ascii="仿宋_GB2312" w:hAnsi="仿宋_GB2312" w:eastAsia="仿宋_GB2312" w:cs="仿宋_GB2312"/>
                <w:color w:val="auto"/>
                <w:lang w:val="en-US" w:eastAsia="zh-CN"/>
              </w:rPr>
              <w:t>等</w:t>
            </w:r>
            <w:r>
              <w:rPr>
                <w:rFonts w:hint="eastAsia" w:ascii="仿宋_GB2312" w:hAnsi="仿宋_GB2312" w:eastAsia="仿宋_GB2312" w:cs="仿宋_GB2312"/>
                <w:color w:val="auto"/>
              </w:rPr>
              <w:t>。</w:t>
            </w:r>
          </w:p>
          <w:p w14:paraId="58479129">
            <w:pPr>
              <w:pStyle w:val="21"/>
              <w:snapToGrid w:val="0"/>
              <w:ind w:firstLine="482"/>
              <w:rPr>
                <w:rFonts w:hint="eastAsia" w:ascii="仿宋_GB2312" w:hAnsi="仿宋_GB2312" w:eastAsia="仿宋_GB2312" w:cs="仿宋_GB2312"/>
                <w:color w:val="auto"/>
              </w:rPr>
            </w:pPr>
            <w:r>
              <w:rPr>
                <w:rFonts w:hint="eastAsia" w:ascii="仿宋_GB2312" w:hAnsi="仿宋_GB2312" w:eastAsia="仿宋_GB2312" w:cs="仿宋_GB2312"/>
                <w:b/>
                <w:bCs/>
                <w:color w:val="auto"/>
                <w:lang w:val="en-US" w:eastAsia="zh-CN"/>
              </w:rPr>
              <w:t>2</w:t>
            </w:r>
            <w:r>
              <w:rPr>
                <w:rFonts w:hint="eastAsia" w:ascii="仿宋_GB2312" w:hAnsi="仿宋_GB2312" w:eastAsia="仿宋_GB2312" w:cs="仿宋_GB2312"/>
                <w:b/>
                <w:bCs/>
                <w:color w:val="auto"/>
              </w:rPr>
              <w:t>.旅游度假区培育名单</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推动</w:t>
            </w:r>
            <w:r>
              <w:rPr>
                <w:rFonts w:hint="eastAsia" w:ascii="仿宋_GB2312" w:hAnsi="仿宋_GB2312" w:eastAsia="仿宋_GB2312" w:cs="仿宋_GB2312"/>
                <w:color w:val="auto"/>
              </w:rPr>
              <w:t>日月湾</w:t>
            </w:r>
            <w:r>
              <w:rPr>
                <w:rFonts w:hint="eastAsia" w:ascii="仿宋_GB2312" w:hAnsi="仿宋_GB2312" w:eastAsia="仿宋_GB2312" w:cs="仿宋_GB2312"/>
                <w:color w:val="auto"/>
                <w:lang w:val="en-US" w:eastAsia="zh-CN"/>
              </w:rPr>
              <w:t>创建</w:t>
            </w:r>
            <w:r>
              <w:rPr>
                <w:rFonts w:hint="eastAsia" w:ascii="仿宋_GB2312" w:hAnsi="仿宋_GB2312" w:eastAsia="仿宋_GB2312" w:cs="仿宋_GB2312"/>
                <w:color w:val="auto"/>
              </w:rPr>
              <w:t>省级旅游度假区和国家级旅游度假区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神州半岛旅游度假区、海南盖娅康养圣地</w:t>
            </w:r>
            <w:r>
              <w:rPr>
                <w:rFonts w:hint="eastAsia" w:ascii="仿宋_GB2312" w:hAnsi="仿宋_GB2312" w:eastAsia="仿宋_GB2312" w:cs="仿宋_GB2312"/>
                <w:color w:val="auto"/>
                <w:lang w:val="en-US" w:eastAsia="zh-CN"/>
              </w:rPr>
              <w:t>创建省级旅游度假区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兴隆旅游区、神州半岛北岸、后安镇乡村旅游区创建省级乡村旅游度假区</w:t>
            </w:r>
            <w:r>
              <w:rPr>
                <w:rFonts w:hint="eastAsia" w:ascii="仿宋_GB2312" w:hAnsi="仿宋_GB2312" w:eastAsia="仿宋_GB2312" w:cs="仿宋_GB2312"/>
                <w:color w:val="auto"/>
                <w:lang w:eastAsia="zh-CN"/>
              </w:rPr>
              <w:t>。</w:t>
            </w:r>
          </w:p>
          <w:p w14:paraId="6F07AF9A">
            <w:pPr>
              <w:pStyle w:val="21"/>
              <w:snapToGrid w:val="0"/>
              <w:ind w:firstLine="482"/>
              <w:rPr>
                <w:rFonts w:hint="eastAsia" w:ascii="仿宋_GB2312" w:hAnsi="仿宋_GB2312" w:eastAsia="仿宋_GB2312" w:cs="仿宋_GB2312"/>
                <w:color w:val="auto"/>
              </w:rPr>
            </w:pP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.旅游休闲街区培育名单：</w:t>
            </w:r>
            <w:r>
              <w:rPr>
                <w:rFonts w:hint="eastAsia" w:ascii="仿宋_GB2312" w:hAnsi="仿宋_GB2312" w:eastAsia="仿宋_GB2312" w:cs="仿宋_GB2312"/>
                <w:b w:val="0"/>
                <w:bCs w:val="0"/>
                <w:color w:val="auto"/>
                <w:lang w:val="en-US" w:eastAsia="zh-CN"/>
              </w:rPr>
              <w:t>推动</w:t>
            </w:r>
            <w:r>
              <w:rPr>
                <w:rFonts w:hint="eastAsia" w:ascii="仿宋_GB2312" w:hAnsi="仿宋_GB2312" w:eastAsia="仿宋_GB2312" w:cs="仿宋_GB2312"/>
                <w:color w:val="auto"/>
              </w:rPr>
              <w:t>石梅湾九里旅游休闲街区</w:t>
            </w:r>
            <w:r>
              <w:rPr>
                <w:rFonts w:hint="eastAsia" w:ascii="仿宋_GB2312" w:hAnsi="仿宋_GB2312" w:eastAsia="仿宋_GB2312" w:cs="仿宋_GB2312"/>
                <w:color w:val="auto"/>
                <w:lang w:val="en-US" w:eastAsia="zh-CN"/>
              </w:rPr>
              <w:t>创建国家级旅游休闲街区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兴隆1951侨乡风情夜市、神州半岛商业街</w:t>
            </w:r>
            <w:r>
              <w:rPr>
                <w:rFonts w:hint="eastAsia" w:ascii="仿宋_GB2312" w:hAnsi="仿宋_GB2312" w:eastAsia="仿宋_GB2312" w:cs="仿宋_GB2312"/>
                <w:color w:val="auto"/>
                <w:lang w:val="en-US" w:eastAsia="zh-CN"/>
              </w:rPr>
              <w:t>争创省级旅游休闲街区</w:t>
            </w:r>
            <w:r>
              <w:rPr>
                <w:rFonts w:hint="eastAsia" w:ascii="仿宋_GB2312" w:hAnsi="仿宋_GB2312" w:eastAsia="仿宋_GB2312" w:cs="仿宋_GB2312"/>
                <w:color w:val="auto"/>
              </w:rPr>
              <w:t>。</w:t>
            </w:r>
          </w:p>
          <w:p w14:paraId="5E76A38A">
            <w:pPr>
              <w:pStyle w:val="21"/>
              <w:snapToGrid w:val="0"/>
              <w:ind w:firstLine="482"/>
              <w:rPr>
                <w:rFonts w:hint="eastAsia" w:ascii="仿宋_GB2312" w:hAnsi="仿宋_GB2312" w:eastAsia="仿宋_GB2312" w:cs="仿宋_GB2312"/>
                <w:color w:val="auto"/>
              </w:rPr>
            </w:pPr>
            <w:r>
              <w:rPr>
                <w:rFonts w:hint="eastAsia" w:ascii="仿宋_GB2312" w:hAnsi="仿宋_GB2312" w:eastAsia="仿宋_GB2312" w:cs="仿宋_GB2312"/>
                <w:b/>
                <w:bCs/>
                <w:color w:val="auto"/>
                <w:lang w:val="en-US" w:eastAsia="zh-CN"/>
              </w:rPr>
              <w:t>4</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乡村旅游</w:t>
            </w:r>
            <w:r>
              <w:rPr>
                <w:rFonts w:hint="eastAsia" w:ascii="仿宋_GB2312" w:hAnsi="仿宋_GB2312" w:eastAsia="仿宋_GB2312" w:cs="仿宋_GB2312"/>
                <w:b/>
                <w:bCs/>
                <w:color w:val="auto"/>
              </w:rPr>
              <w:t>培育名单：</w:t>
            </w:r>
          </w:p>
          <w:p w14:paraId="5BC5A821">
            <w:pPr>
              <w:pStyle w:val="21"/>
              <w:snapToGrid w:val="0"/>
              <w:ind w:firstLine="482"/>
              <w:rPr>
                <w:rFonts w:hint="eastAsia" w:ascii="仿宋_GB2312" w:hAnsi="仿宋_GB2312" w:eastAsia="仿宋_GB2312" w:cs="仿宋_GB2312"/>
                <w:b w:val="0"/>
                <w:bCs w:val="0"/>
                <w:color w:val="auto"/>
                <w:lang w:val="en-US" w:eastAsia="zh-CN"/>
              </w:rPr>
            </w:pP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1</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rPr>
              <w:t>全国乡村旅游重点镇培育名单</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val="0"/>
                <w:bCs w:val="0"/>
                <w:color w:val="auto"/>
              </w:rPr>
              <w:t>华侨旅游经济区</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东澳镇、礼纪镇</w:t>
            </w:r>
            <w:r>
              <w:rPr>
                <w:rFonts w:hint="eastAsia" w:ascii="仿宋_GB2312" w:hAnsi="仿宋_GB2312" w:eastAsia="仿宋_GB2312" w:cs="仿宋_GB2312"/>
                <w:b w:val="0"/>
                <w:bCs w:val="0"/>
                <w:color w:val="auto"/>
                <w:lang w:val="en-US" w:eastAsia="zh-CN"/>
              </w:rPr>
              <w:t>等。</w:t>
            </w:r>
          </w:p>
          <w:p w14:paraId="256C5171">
            <w:pPr>
              <w:pStyle w:val="21"/>
              <w:snapToGrid w:val="0"/>
              <w:ind w:firstLine="482"/>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2</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rPr>
              <w:t>全国乡村旅游重点</w:t>
            </w:r>
            <w:r>
              <w:rPr>
                <w:rFonts w:hint="eastAsia" w:ascii="仿宋_GB2312" w:hAnsi="仿宋_GB2312" w:eastAsia="仿宋_GB2312" w:cs="仿宋_GB2312"/>
                <w:b/>
                <w:bCs/>
                <w:color w:val="auto"/>
                <w:lang w:val="en-US" w:eastAsia="zh-CN"/>
              </w:rPr>
              <w:t>村</w:t>
            </w:r>
            <w:r>
              <w:rPr>
                <w:rFonts w:hint="eastAsia" w:ascii="仿宋_GB2312" w:hAnsi="仿宋_GB2312" w:eastAsia="仿宋_GB2312" w:cs="仿宋_GB2312"/>
                <w:b/>
                <w:bCs/>
                <w:color w:val="auto"/>
              </w:rPr>
              <w:t>培育名单</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山根镇排溪村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龙滚镇</w:t>
            </w:r>
            <w:r>
              <w:rPr>
                <w:rFonts w:hint="eastAsia" w:ascii="仿宋_GB2312" w:hAnsi="仿宋_GB2312" w:eastAsia="仿宋_GB2312" w:cs="仿宋_GB2312"/>
                <w:color w:val="auto"/>
              </w:rPr>
              <w:t>福塘村</w:t>
            </w:r>
            <w:r>
              <w:rPr>
                <w:rFonts w:hint="eastAsia" w:ascii="仿宋_GB2312" w:hAnsi="仿宋_GB2312" w:eastAsia="仿宋_GB2312" w:cs="仿宋_GB2312"/>
                <w:color w:val="auto"/>
                <w:lang w:val="en-US" w:eastAsia="zh-CN"/>
              </w:rPr>
              <w:t>等。</w:t>
            </w:r>
          </w:p>
          <w:p w14:paraId="17D8DEC8">
            <w:pPr>
              <w:pStyle w:val="21"/>
              <w:snapToGrid w:val="0"/>
              <w:ind w:firstLine="482"/>
              <w:rPr>
                <w:rFonts w:hint="eastAsia" w:ascii="仿宋_GB2312" w:hAnsi="仿宋_GB2312" w:eastAsia="仿宋_GB2312"/>
                <w:color w:val="auto"/>
                <w:lang w:eastAsia="zh-CN"/>
              </w:rPr>
            </w:pP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bCs/>
                <w:color w:val="auto"/>
                <w:lang w:val="en-US" w:eastAsia="zh-CN"/>
              </w:rPr>
              <w:t>3）</w:t>
            </w:r>
            <w:r>
              <w:rPr>
                <w:rFonts w:hint="eastAsia" w:ascii="仿宋_GB2312" w:hAnsi="仿宋_GB2312" w:eastAsia="仿宋_GB2312" w:cs="仿宋_GB2312"/>
                <w:b/>
                <w:bCs/>
                <w:color w:val="auto"/>
              </w:rPr>
              <w:t>椰级乡村旅游点培育名单</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推进现有</w:t>
            </w:r>
            <w:r>
              <w:rPr>
                <w:rFonts w:hint="eastAsia" w:ascii="仿宋_GB2312" w:hAnsi="仿宋_GB2312" w:eastAsia="仿宋_GB2312" w:cs="仿宋_GB2312"/>
                <w:b w:val="0"/>
                <w:bCs w:val="0"/>
                <w:color w:val="000000" w:themeColor="text1"/>
                <w:highlight w:val="none"/>
                <w14:textFill>
                  <w14:solidFill>
                    <w14:schemeClr w14:val="tx1"/>
                  </w14:solidFill>
                </w14:textFill>
              </w:rPr>
              <w:t>椰级乡村旅游点</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提质升级，</w:t>
            </w:r>
            <w:r>
              <w:rPr>
                <w:rFonts w:hint="eastAsia" w:ascii="仿宋_GB2312" w:hAnsi="仿宋_GB2312" w:eastAsia="仿宋_GB2312" w:cs="仿宋_GB2312"/>
                <w:b w:val="0"/>
                <w:bCs w:val="0"/>
                <w:color w:val="000000" w:themeColor="text1"/>
                <w14:textFill>
                  <w14:solidFill>
                    <w14:schemeClr w14:val="tx1"/>
                  </w14:solidFill>
                </w14:textFill>
              </w:rPr>
              <w:t>持续挖掘新建设一批椰级乡村旅游点</w:t>
            </w:r>
            <w:r>
              <w:rPr>
                <w:rFonts w:hint="eastAsia" w:ascii="仿宋_GB2312" w:hAnsi="仿宋_GB2312" w:eastAsia="仿宋_GB2312" w:cs="仿宋_GB2312"/>
                <w:b w:val="0"/>
                <w:bCs w:val="0"/>
                <w:color w:val="000000" w:themeColor="text1"/>
                <w:lang w:eastAsia="zh-CN"/>
                <w14:textFill>
                  <w14:solidFill>
                    <w14:schemeClr w14:val="tx1"/>
                  </w14:solidFill>
                </w14:textFill>
              </w:rPr>
              <w:t>。</w:t>
            </w:r>
          </w:p>
        </w:tc>
      </w:tr>
    </w:tbl>
    <w:p w14:paraId="633578FB">
      <w:pPr>
        <w:rPr>
          <w:rFonts w:hint="default" w:cs="仿宋_GB2312"/>
          <w:b w:val="0"/>
          <w:bCs w:val="0"/>
          <w:lang w:val="en-US" w:eastAsia="zh-CN"/>
        </w:rPr>
      </w:pPr>
      <w:r>
        <w:rPr>
          <w:rFonts w:hint="default" w:cs="仿宋_GB2312"/>
          <w:b w:val="0"/>
          <w:bCs w:val="0"/>
          <w:lang w:val="en-US" w:eastAsia="zh-CN"/>
        </w:rPr>
        <w:br w:type="page"/>
      </w:r>
    </w:p>
    <w:p w14:paraId="2A7DA1FE">
      <w:pPr>
        <w:pStyle w:val="2"/>
        <w:shd w:val="clear"/>
        <w:spacing w:after="62"/>
        <w:ind w:firstLine="0" w:firstLineChars="0"/>
        <w:jc w:val="center"/>
        <w:rPr>
          <w:rFonts w:hint="eastAsia"/>
          <w:b w:val="0"/>
          <w:bCs/>
          <w:color w:val="auto"/>
          <w:sz w:val="36"/>
          <w:szCs w:val="48"/>
          <w:highlight w:val="none"/>
        </w:rPr>
      </w:pPr>
      <w:bookmarkStart w:id="85" w:name="_Toc2804"/>
      <w:bookmarkStart w:id="86" w:name="_Toc15885"/>
      <w:bookmarkStart w:id="87" w:name="_Toc30102"/>
      <w:r>
        <w:rPr>
          <w:rFonts w:hint="eastAsia"/>
          <w:b w:val="0"/>
          <w:bCs/>
          <w:color w:val="auto"/>
          <w:sz w:val="36"/>
          <w:szCs w:val="48"/>
          <w:highlight w:val="none"/>
        </w:rPr>
        <w:t>第四章 推动文化铸魂兴业</w:t>
      </w:r>
      <w:bookmarkEnd w:id="85"/>
      <w:bookmarkEnd w:id="86"/>
      <w:bookmarkEnd w:id="87"/>
    </w:p>
    <w:p w14:paraId="284540A9">
      <w:pPr>
        <w:pStyle w:val="3"/>
        <w:shd w:val="clear"/>
        <w:spacing w:before="62" w:after="93"/>
        <w:ind w:firstLine="643"/>
        <w:jc w:val="left"/>
        <w:rPr>
          <w:rFonts w:hint="eastAsia"/>
          <w:b w:val="0"/>
          <w:bCs/>
          <w:color w:val="auto"/>
          <w:highlight w:val="none"/>
          <w:lang w:val="en-US" w:eastAsia="zh-CN"/>
        </w:rPr>
      </w:pPr>
      <w:bookmarkStart w:id="88" w:name="_Toc2826"/>
      <w:bookmarkStart w:id="89" w:name="_Toc406"/>
      <w:bookmarkStart w:id="90" w:name="_Toc8004"/>
      <w:r>
        <w:rPr>
          <w:rFonts w:hint="eastAsia"/>
          <w:b w:val="0"/>
          <w:bCs/>
          <w:color w:val="auto"/>
          <w:highlight w:val="none"/>
          <w:lang w:val="en-US" w:eastAsia="zh-CN"/>
        </w:rPr>
        <w:t>一、加强文化保护传承利用</w:t>
      </w:r>
      <w:bookmarkEnd w:id="88"/>
      <w:bookmarkEnd w:id="89"/>
      <w:bookmarkEnd w:id="90"/>
    </w:p>
    <w:p w14:paraId="1C2D9291">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（一）推进文化遗产系统性保护</w:t>
      </w:r>
    </w:p>
    <w:p w14:paraId="3A40F14E">
      <w:pPr>
        <w:rPr>
          <w:rFonts w:hint="eastAsia"/>
          <w:lang w:val="en-US" w:eastAsia="zh-CN"/>
        </w:rPr>
      </w:pPr>
      <w:r>
        <w:rPr>
          <w:rFonts w:hint="eastAsia"/>
          <w:b/>
          <w:bCs/>
          <w:lang w:val="en-US" w:eastAsia="zh-CN"/>
        </w:rPr>
        <w:t>强化文化遗产科学保护。</w:t>
      </w:r>
      <w:r>
        <w:rPr>
          <w:rFonts w:hint="eastAsia"/>
          <w:lang w:val="en-US" w:eastAsia="zh-CN"/>
        </w:rPr>
        <w:t>遵循“保护第一、加强管理、挖掘价值、有效利用、让文物活起来”的新时代文物工作方针，推进历史文化遗产的保护利用，做好东山岭摩崖石刻群、陈氏祖祠、万安书院、孔庙、黎武城、潮州会馆等文保单位的修缮、管理和活化，完善踏头遗址、万安州古城遗址等重要考古遗址保护设施。</w:t>
      </w:r>
    </w:p>
    <w:p w14:paraId="0C44467E">
      <w:pPr>
        <w:rPr>
          <w:rFonts w:hint="eastAsia"/>
          <w:lang w:val="en-US" w:eastAsia="zh-CN"/>
        </w:rPr>
      </w:pPr>
      <w:r>
        <w:rPr>
          <w:rFonts w:hint="eastAsia"/>
          <w:b/>
          <w:bCs/>
          <w:lang w:val="en-US" w:eastAsia="zh-CN"/>
        </w:rPr>
        <w:t>提升文物保护利用水平。</w:t>
      </w:r>
      <w:r>
        <w:rPr>
          <w:rFonts w:hint="eastAsia"/>
          <w:lang w:val="en-US" w:eastAsia="zh-CN"/>
        </w:rPr>
        <w:t>落实文保单位“四有”工作和保护空间管制要求，将所有文物保护单位保护范围、建设控制地带划定公布并纳入国土空间规划。以信息共享、跨界创意和智慧应用为重点，建设文化资源数字云平台，开展文化资源数字化展示。活化利用遗址遗迹，加快潮州会馆、万安书院、孔庙、曲冲文氏祠堂等升级改造，推进老八街、元帅府、侨乡老宅等保护展示，打造一批“文物+旅游”项目。</w:t>
      </w:r>
    </w:p>
    <w:p w14:paraId="5C33DFB2">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（二）创新性发展优秀传统文化</w:t>
      </w:r>
    </w:p>
    <w:p w14:paraId="50608C94">
      <w:pPr>
        <w:rPr>
          <w:rFonts w:hint="eastAsia"/>
          <w:lang w:val="en-US" w:eastAsia="zh-CN"/>
        </w:rPr>
      </w:pPr>
      <w:r>
        <w:rPr>
          <w:rFonts w:hint="eastAsia"/>
          <w:b/>
          <w:bCs/>
          <w:lang w:val="en-US" w:eastAsia="zh-CN"/>
        </w:rPr>
        <w:t>推动历史文化有机活化。</w:t>
      </w:r>
      <w:r>
        <w:rPr>
          <w:rFonts w:hint="eastAsia"/>
          <w:lang w:val="en-US" w:eastAsia="zh-CN"/>
        </w:rPr>
        <w:t>打造以历史遗迹探寻、传统文化感悟、古镇古村体验为重点的景区景点，推动文物资源与旅游产业发展有机结合。盘活各类文化遗址、文物建筑，支持社会力量利用文物建筑建设收藏类展馆，支持海南吴天艺术博物馆、吉纳客兴隆咖啡博物馆等非国有博物馆建设发展。推动文物资源与文化站室等公共文化服务场景联动，方便民众一站式了解万宁发展历史与文化特色。</w:t>
      </w:r>
    </w:p>
    <w:p w14:paraId="08BE24BE">
      <w:pPr>
        <w:rPr>
          <w:rFonts w:hint="eastAsia"/>
          <w:b/>
          <w:bCs/>
          <w:lang w:val="en-US" w:eastAsia="zh-CN"/>
        </w:rPr>
      </w:pPr>
      <w:r>
        <w:rPr>
          <w:rFonts w:hint="eastAsia"/>
          <w:b/>
          <w:bCs/>
          <w:lang w:val="en-US" w:eastAsia="zh-CN"/>
        </w:rPr>
        <w:t>加强特色村寨保护开发。</w:t>
      </w:r>
      <w:r>
        <w:rPr>
          <w:rFonts w:hint="eastAsia"/>
          <w:b w:val="0"/>
          <w:bCs w:val="0"/>
          <w:lang w:val="en-US" w:eastAsia="zh-CN"/>
        </w:rPr>
        <w:t>加强对桥南外村、文通村等历史文化名村、传统村落、红色村庄、黎村苗寨和滨海渔村的保护与利用。将优秀民族文化传承与民族特色村寨保护有机结合，促进民族文化资源优势转化为发展优势。</w:t>
      </w:r>
    </w:p>
    <w:p w14:paraId="2BC5F0B5">
      <w:pPr>
        <w:rPr>
          <w:rFonts w:hint="eastAsia"/>
          <w:lang w:val="en-US" w:eastAsia="zh-CN"/>
        </w:rPr>
      </w:pPr>
      <w:r>
        <w:rPr>
          <w:rFonts w:hint="eastAsia"/>
          <w:b/>
          <w:bCs/>
          <w:lang w:val="en-US" w:eastAsia="zh-CN"/>
        </w:rPr>
        <w:t>传承发展革命文化与优秀传统文化。</w:t>
      </w:r>
      <w:r>
        <w:rPr>
          <w:rFonts w:hint="eastAsia"/>
          <w:b w:val="0"/>
          <w:bCs w:val="0"/>
          <w:lang w:val="en-US" w:eastAsia="zh-CN"/>
        </w:rPr>
        <w:t>用好六连岭革命根据地旧址、万城革命烈士陵园等红色资源，弘扬革命文化，打造革命纪念设施体系。提炼归侨文化、咖啡文化、南洋文化、摩崖石刻文化精神内核，打造多元文化产品。</w:t>
      </w:r>
    </w:p>
    <w:p w14:paraId="024235F6">
      <w:pPr>
        <w:pStyle w:val="4"/>
        <w:shd w:val="clear"/>
        <w:ind w:firstLine="479"/>
        <w:rPr>
          <w:rFonts w:hint="eastAsia"/>
          <w:color w:val="auto"/>
          <w:highlight w:val="none"/>
          <w:lang w:val="en-US" w:eastAsia="zh-CN"/>
        </w:rPr>
      </w:pPr>
      <w:r>
        <w:rPr>
          <w:rFonts w:hint="eastAsia"/>
          <w:color w:val="auto"/>
          <w:highlight w:val="none"/>
          <w:lang w:val="en-US" w:eastAsia="zh-CN"/>
        </w:rPr>
        <w:t>（三）推动非物质文化遗产创新利用</w:t>
      </w:r>
    </w:p>
    <w:p w14:paraId="6FCA7E3C">
      <w:pPr>
        <w:rPr>
          <w:rFonts w:hint="eastAsia"/>
          <w:lang w:val="en-US" w:eastAsia="zh-CN"/>
        </w:rPr>
      </w:pPr>
      <w:r>
        <w:rPr>
          <w:rFonts w:hint="eastAsia"/>
          <w:lang w:val="en-US" w:eastAsia="zh-CN"/>
        </w:rPr>
        <w:t>健全非遗保护体系，谋划建设万宁非遗展示馆，申报国家级非遗代表性项目和非遗传承人，举办“文化和自然遗产日”“非遗进校园、社区</w:t>
      </w:r>
      <w:r>
        <w:rPr>
          <w:rFonts w:hint="eastAsia" w:cs="仿宋_GB2312"/>
          <w:lang w:val="en-US" w:eastAsia="zh-CN"/>
        </w:rPr>
        <w:t>、</w:t>
      </w:r>
      <w:r>
        <w:rPr>
          <w:rFonts w:hint="eastAsia" w:ascii="仿宋_GB2312" w:eastAsia="仿宋_GB2312" w:cs="仿宋_GB2312"/>
          <w:lang w:val="en-US" w:eastAsia="zh-CN"/>
        </w:rPr>
        <w:t>景区</w:t>
      </w:r>
      <w:r>
        <w:rPr>
          <w:rFonts w:hint="eastAsia" w:cs="仿宋_GB2312"/>
          <w:lang w:val="en-US" w:eastAsia="zh-CN"/>
        </w:rPr>
        <w:t>、商圈</w:t>
      </w:r>
      <w:r>
        <w:rPr>
          <w:rFonts w:hint="eastAsia"/>
          <w:lang w:val="en-US" w:eastAsia="zh-CN"/>
        </w:rPr>
        <w:t>”等非遗展示展演活动。挖掘双刀舞、竹器编织技艺、煮盐技艺等非遗资源价值，推进非遗文创产品及衍生品转化，推出一批非遗和旅游融合典型案例。布局万宁非遗形象店、非遗美食体验店、非遗工坊、非遗主题旅游线路，开发非遗热销文创产品。</w:t>
      </w:r>
    </w:p>
    <w:p w14:paraId="07A0E490">
      <w:pPr>
        <w:pStyle w:val="3"/>
        <w:shd w:val="clear"/>
        <w:spacing w:before="62" w:after="93"/>
        <w:ind w:firstLine="643"/>
        <w:jc w:val="left"/>
        <w:rPr>
          <w:rFonts w:hint="eastAsia"/>
          <w:b w:val="0"/>
          <w:bCs/>
          <w:color w:val="auto"/>
          <w:highlight w:val="none"/>
          <w:lang w:val="en-US" w:eastAsia="zh-CN"/>
        </w:rPr>
      </w:pPr>
      <w:bookmarkStart w:id="91" w:name="_Toc31976"/>
      <w:bookmarkStart w:id="92" w:name="_Toc24715"/>
      <w:bookmarkStart w:id="93" w:name="_Toc32213"/>
      <w:r>
        <w:rPr>
          <w:rFonts w:hint="eastAsia"/>
          <w:b w:val="0"/>
          <w:bCs/>
          <w:color w:val="auto"/>
          <w:highlight w:val="none"/>
          <w:lang w:val="en-US" w:eastAsia="zh-CN"/>
        </w:rPr>
        <w:t>二、繁荣文化艺术精品舞台</w:t>
      </w:r>
      <w:bookmarkEnd w:id="91"/>
      <w:bookmarkEnd w:id="92"/>
      <w:bookmarkEnd w:id="93"/>
    </w:p>
    <w:p w14:paraId="45F88A94">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（一）打造新时代文艺精品力作</w:t>
      </w:r>
    </w:p>
    <w:p w14:paraId="1A0AE1F0">
      <w:pPr>
        <w:rPr>
          <w:rFonts w:hint="eastAsia"/>
          <w:lang w:val="en-US" w:eastAsia="zh-CN"/>
        </w:rPr>
      </w:pPr>
      <w:r>
        <w:rPr>
          <w:rFonts w:hint="eastAsia"/>
          <w:lang w:val="en-US" w:eastAsia="zh-CN"/>
        </w:rPr>
        <w:t>实施文艺创作提质、舞台艺术精品创作扶持工程，强化优秀剧本、曲本创作支持，围绕华侨文化、重大现实、革命历史等重点题材，创作一批文化艺术及网络视听精品。繁荣新大众文艺，创排侨乡特色舞台剧目，选送艺术精品参与省级、国家级文艺评奖。推动优秀文艺作品申报国家及海南艺术基金。加强艺术门类分类指导，推动剧目、节目均衡发展。</w:t>
      </w:r>
    </w:p>
    <w:p w14:paraId="3AAE8A42">
      <w:pPr>
        <w:pStyle w:val="4"/>
        <w:shd w:val="clear"/>
        <w:ind w:firstLine="479"/>
        <w:rPr>
          <w:rFonts w:hint="eastAsia"/>
          <w:color w:val="auto"/>
          <w:highlight w:val="none"/>
          <w:lang w:val="en-US" w:eastAsia="zh-CN"/>
        </w:rPr>
      </w:pPr>
      <w:r>
        <w:rPr>
          <w:rFonts w:hint="eastAsia"/>
          <w:color w:val="auto"/>
          <w:highlight w:val="none"/>
          <w:lang w:val="en-US" w:eastAsia="zh-CN"/>
        </w:rPr>
        <w:t>（二）推动优秀艺术作品传播展演</w:t>
      </w:r>
    </w:p>
    <w:p w14:paraId="30879F89">
      <w:pPr>
        <w:rPr>
          <w:rFonts w:hint="eastAsia"/>
          <w:lang w:val="en-US" w:eastAsia="zh-CN"/>
        </w:rPr>
      </w:pPr>
      <w:r>
        <w:rPr>
          <w:rFonts w:hint="eastAsia"/>
          <w:lang w:val="en-US" w:eastAsia="zh-CN"/>
        </w:rPr>
        <w:t>积极承办省级戏曲汇演等文艺演出活动，推动文艺精品进景区、进街区、进园区、进社区，结合各类活动举办专题展演。探索数字演艺形式，推</w:t>
      </w:r>
      <w:bookmarkStart w:id="229" w:name="_GoBack"/>
      <w:bookmarkEnd w:id="229"/>
      <w:r>
        <w:rPr>
          <w:rFonts w:hint="eastAsia"/>
          <w:lang w:val="en-US" w:eastAsia="zh-CN"/>
        </w:rPr>
        <w:t>动精品剧目与剧场、演出院线深度合作，促进线下演出、线上演播融合发展。培育引进MCN机构与主播团队，打造六连岭红色叙事等视听精品。完善重点文艺创作扶持和优秀文艺作品奖励机制。加强引导新文艺组织和新文艺群体，健全文艺评论引导机制。</w:t>
      </w:r>
    </w:p>
    <w:p w14:paraId="5FE44E86">
      <w:pPr>
        <w:pStyle w:val="3"/>
        <w:shd w:val="clear"/>
        <w:spacing w:before="62" w:after="93"/>
        <w:ind w:firstLine="643"/>
        <w:jc w:val="left"/>
        <w:rPr>
          <w:rFonts w:hint="eastAsia"/>
          <w:b w:val="0"/>
          <w:bCs/>
          <w:color w:val="auto"/>
          <w:highlight w:val="none"/>
          <w:lang w:val="en-US" w:eastAsia="zh-CN"/>
        </w:rPr>
      </w:pPr>
      <w:bookmarkStart w:id="94" w:name="_Toc28764"/>
      <w:bookmarkStart w:id="95" w:name="_Toc17337"/>
      <w:bookmarkStart w:id="96" w:name="_Toc20076"/>
      <w:r>
        <w:rPr>
          <w:rFonts w:hint="eastAsia"/>
          <w:b w:val="0"/>
          <w:bCs/>
          <w:color w:val="auto"/>
          <w:highlight w:val="none"/>
          <w:lang w:val="en-US" w:eastAsia="zh-CN"/>
        </w:rPr>
        <w:t>三、推动公共文化服务配套</w:t>
      </w:r>
      <w:bookmarkEnd w:id="94"/>
      <w:bookmarkEnd w:id="95"/>
      <w:bookmarkEnd w:id="96"/>
    </w:p>
    <w:p w14:paraId="38DEC751">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（一）完善公共文化设施网络</w:t>
      </w:r>
    </w:p>
    <w:p w14:paraId="4CB236B1">
      <w:pPr>
        <w:rPr>
          <w:rFonts w:hint="eastAsia"/>
          <w:lang w:val="en-US" w:eastAsia="zh-CN"/>
        </w:rPr>
      </w:pPr>
      <w:r>
        <w:rPr>
          <w:rFonts w:hint="eastAsia"/>
          <w:lang w:val="en-US" w:eastAsia="zh-CN"/>
        </w:rPr>
        <w:t>推进各级文博场馆服务提质增效，推动图书馆、文化馆、博物馆等公共文化服务设施特色化、专业化、数字化升级。支持公共空间实施文化“微更新”改造，打造公共文化服务新场景，落地一批文旅休闲驿站、海上书房、渔家风情馆、文旅消费体验场、月光经济体验店、农家书屋、城市书房、沙滩文化驿站等“小而美”新型公共文化空间。</w:t>
      </w:r>
    </w:p>
    <w:p w14:paraId="50E99048">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（二）提升公共文化服务水平</w:t>
      </w:r>
    </w:p>
    <w:p w14:paraId="274C0A90">
      <w:pPr>
        <w:rPr>
          <w:rFonts w:hint="eastAsia"/>
          <w:lang w:val="en-US" w:eastAsia="zh-CN"/>
        </w:rPr>
      </w:pPr>
      <w:r>
        <w:rPr>
          <w:rFonts w:hint="eastAsia"/>
          <w:lang w:val="en-US" w:eastAsia="zh-CN"/>
        </w:rPr>
        <w:t>持续提升公共文化服务标准化、均等化水平，推动建设“15分钟品质文化生活圈”。深化公共文化设施免费开放，推行错时、延时开放。加快公共文化设施数智化改造，推广云展览、云阅读、云视听、云演艺等新型服务。健全社会力量参与公共文化服务机制，推动公共文化服务社会化发展。持续实施文化志愿服务计划，开展文化志愿服务活动。深化文化馆、图书馆总分馆制建设，提升公共图书馆馆藏质量，深入开展全民阅读服务，扎实推进“书香万宁”建设。</w:t>
      </w:r>
    </w:p>
    <w:p w14:paraId="55140E45">
      <w:pPr>
        <w:keepNext/>
        <w:keepLines/>
        <w:widowControl w:val="0"/>
        <w:shd w:val="clear"/>
        <w:adjustRightInd w:val="0"/>
        <w:spacing w:line="640" w:lineRule="exact"/>
        <w:ind w:firstLine="479" w:firstLineChars="149"/>
        <w:jc w:val="left"/>
        <w:textAlignment w:val="baseline"/>
        <w:outlineLvl w:val="2"/>
        <w:rPr>
          <w:rFonts w:hint="eastAsia" w:ascii="Times New Roman" w:hAnsi="Times New Roman" w:eastAsia="楷体" w:cs="Times New Roman"/>
          <w:b/>
          <w:color w:val="auto"/>
          <w:kern w:val="2"/>
          <w:sz w:val="32"/>
          <w:szCs w:val="32"/>
          <w:highlight w:val="none"/>
          <w:lang w:val="en-US" w:eastAsia="zh-CN" w:bidi="ar-SA"/>
        </w:rPr>
      </w:pPr>
      <w:r>
        <w:rPr>
          <w:rFonts w:hint="eastAsia" w:ascii="Times New Roman" w:hAnsi="Times New Roman" w:eastAsia="楷体" w:cs="Times New Roman"/>
          <w:b/>
          <w:color w:val="auto"/>
          <w:kern w:val="2"/>
          <w:sz w:val="32"/>
          <w:szCs w:val="32"/>
          <w:highlight w:val="none"/>
          <w:lang w:val="en-US" w:eastAsia="zh-CN" w:bidi="ar-SA"/>
        </w:rPr>
        <w:t>（三）丰富群众文化活动供给</w:t>
      </w:r>
    </w:p>
    <w:p w14:paraId="45944DC3">
      <w:pPr>
        <w:rPr>
          <w:rFonts w:hint="eastAsia"/>
          <w:lang w:val="en-US" w:eastAsia="zh-CN"/>
        </w:rPr>
      </w:pPr>
      <w:r>
        <w:rPr>
          <w:rFonts w:hint="eastAsia" w:cs="Times New Roman"/>
          <w:lang w:val="en-US" w:eastAsia="zh-CN"/>
        </w:rPr>
        <w:t>策划开展群众喜闻乐见的多彩文体活动，延续“三月三”黎族苗族传统节日等文化品牌，嵌入非遗活态展示环节。挖掘和引进演艺资源，支持举办大型演唱会、音乐节、影视节等，持续</w:t>
      </w:r>
      <w:r>
        <w:rPr>
          <w:rFonts w:hint="eastAsia"/>
          <w:lang w:val="en-US" w:eastAsia="zh-CN"/>
        </w:rPr>
        <w:t>开展</w:t>
      </w:r>
      <w:r>
        <w:rPr>
          <w:rFonts w:hint="eastAsia" w:cs="Times New Roman"/>
          <w:lang w:val="en-US" w:eastAsia="zh-CN"/>
        </w:rPr>
        <w:t>万宁文化艺术季、送戏下乡等惠民文艺活动，组织精品展览、沉浸式演出、文艺展演</w:t>
      </w:r>
      <w:r>
        <w:rPr>
          <w:rFonts w:hint="eastAsia"/>
          <w:lang w:val="en-US" w:eastAsia="zh-CN"/>
        </w:rPr>
        <w:t>等多元内容</w:t>
      </w:r>
      <w:r>
        <w:rPr>
          <w:rFonts w:hint="eastAsia" w:cs="Times New Roman"/>
          <w:lang w:val="en-US" w:eastAsia="zh-CN"/>
        </w:rPr>
        <w:t>。丰富基层文化活动供给，</w:t>
      </w:r>
      <w:r>
        <w:rPr>
          <w:rFonts w:hint="eastAsia"/>
          <w:lang w:val="en-US" w:eastAsia="zh-CN"/>
        </w:rPr>
        <w:t>开展以小演出、小讲座、小阅读等“九小”形式的“春风村雨”文化惠民活动，搭建群众可自主参与的普惠文化舞台，满足群众多层次、多样化精神文化需求。</w:t>
      </w:r>
    </w:p>
    <w:p w14:paraId="4F07BDC7">
      <w:pPr>
        <w:rPr>
          <w:rFonts w:hint="eastAsia"/>
          <w:lang w:val="en-US" w:eastAsia="zh-CN"/>
        </w:rPr>
      </w:pPr>
      <w:r>
        <w:rPr>
          <w:rFonts w:hint="eastAsia"/>
          <w:lang w:val="en-US" w:eastAsia="zh-CN"/>
        </w:rPr>
        <w:br w:type="page"/>
      </w:r>
    </w:p>
    <w:p w14:paraId="12F2734E">
      <w:pPr>
        <w:pStyle w:val="2"/>
        <w:shd w:val="clear"/>
        <w:spacing w:after="62"/>
        <w:ind w:firstLine="0" w:firstLineChars="0"/>
        <w:jc w:val="center"/>
        <w:rPr>
          <w:rFonts w:hint="eastAsia"/>
          <w:b w:val="0"/>
          <w:bCs/>
          <w:color w:val="auto"/>
          <w:sz w:val="36"/>
          <w:szCs w:val="48"/>
          <w:highlight w:val="none"/>
        </w:rPr>
      </w:pPr>
      <w:bookmarkStart w:id="97" w:name="_Toc21654"/>
      <w:bookmarkStart w:id="98" w:name="_Toc7306"/>
      <w:bookmarkStart w:id="99" w:name="_Toc27033"/>
      <w:r>
        <w:rPr>
          <w:rFonts w:hint="eastAsia"/>
          <w:b w:val="0"/>
          <w:bCs/>
          <w:color w:val="auto"/>
          <w:sz w:val="36"/>
          <w:szCs w:val="48"/>
          <w:highlight w:val="none"/>
        </w:rPr>
        <w:t>第五章 加快体育兴市惠民</w:t>
      </w:r>
      <w:bookmarkEnd w:id="97"/>
      <w:bookmarkEnd w:id="98"/>
      <w:bookmarkEnd w:id="99"/>
    </w:p>
    <w:p w14:paraId="6EBA2D9B">
      <w:pPr>
        <w:pStyle w:val="3"/>
        <w:spacing w:before="62" w:after="93"/>
        <w:ind w:firstLine="640"/>
        <w:rPr>
          <w:color w:val="auto"/>
        </w:rPr>
      </w:pPr>
      <w:bookmarkStart w:id="100" w:name="_Toc7830"/>
      <w:bookmarkStart w:id="101" w:name="_Toc20380"/>
      <w:bookmarkStart w:id="102" w:name="_Toc12037"/>
      <w:bookmarkStart w:id="103" w:name="_Toc12456"/>
      <w:bookmarkStart w:id="104" w:name="_Toc783"/>
      <w:bookmarkStart w:id="105" w:name="_Toc214297333"/>
      <w:bookmarkStart w:id="106" w:name="_Toc212622338"/>
      <w:bookmarkStart w:id="107" w:name="_Toc8629"/>
      <w:bookmarkStart w:id="108" w:name="_Toc2584"/>
      <w:bookmarkStart w:id="109" w:name="_Toc8016"/>
      <w:bookmarkStart w:id="110" w:name="_Toc27866"/>
      <w:bookmarkStart w:id="111" w:name="_Toc9966"/>
      <w:bookmarkStart w:id="112" w:name="_Toc22928"/>
      <w:bookmarkStart w:id="113" w:name="_Toc28904"/>
      <w:bookmarkStart w:id="114" w:name="_Toc27347"/>
      <w:bookmarkStart w:id="115" w:name="_Toc21214"/>
      <w:bookmarkStart w:id="116" w:name="_Toc12284"/>
      <w:r>
        <w:rPr>
          <w:rFonts w:hint="eastAsia"/>
          <w:color w:val="auto"/>
        </w:rPr>
        <w:t>一、</w:t>
      </w:r>
      <w:r>
        <w:rPr>
          <w:color w:val="auto"/>
        </w:rPr>
        <w:t>完善全民健身</w:t>
      </w:r>
      <w:bookmarkEnd w:id="100"/>
      <w:bookmarkEnd w:id="101"/>
      <w:bookmarkEnd w:id="102"/>
      <w:r>
        <w:rPr>
          <w:rFonts w:hint="eastAsia"/>
          <w:color w:val="auto"/>
          <w:lang w:eastAsia="zh-CN"/>
        </w:rPr>
        <w:t>公共服务</w:t>
      </w:r>
      <w:r>
        <w:rPr>
          <w:rFonts w:hint="eastAsia"/>
          <w:color w:val="auto"/>
        </w:rPr>
        <w:t>设施</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77749216">
      <w:pPr>
        <w:pStyle w:val="4"/>
        <w:ind w:firstLine="479"/>
        <w:rPr>
          <w:color w:val="auto"/>
        </w:rPr>
      </w:pPr>
      <w:r>
        <w:rPr>
          <w:rFonts w:hint="eastAsia"/>
          <w:color w:val="auto"/>
        </w:rPr>
        <w:t>（一）</w:t>
      </w:r>
      <w:r>
        <w:rPr>
          <w:color w:val="auto"/>
        </w:rPr>
        <w:t>推动健身设施扩容增量</w:t>
      </w:r>
    </w:p>
    <w:p w14:paraId="48E6D634">
      <w:pPr>
        <w:ind w:firstLine="640"/>
        <w:rPr>
          <w:rFonts w:hint="eastAsia"/>
          <w:color w:val="auto"/>
        </w:rPr>
      </w:pPr>
      <w:r>
        <w:rPr>
          <w:rFonts w:hint="eastAsia"/>
          <w:color w:val="auto"/>
        </w:rPr>
        <w:t>加大全民健身公共服务资源向基础薄弱区域倾斜力度，持续补齐城乡基层健身设施短板，推动优质体育资源下沉基层一线。不断完善普惠均等的全民健身服务体系，切实保障基层群众就近就便参与健身的需求，稳步提升全民健康水平</w:t>
      </w:r>
      <w:r>
        <w:rPr>
          <w:rFonts w:hint="eastAsia"/>
          <w:color w:val="auto"/>
          <w:lang w:eastAsia="zh-CN"/>
        </w:rPr>
        <w:t>。</w:t>
      </w:r>
      <w:r>
        <w:rPr>
          <w:rFonts w:hint="eastAsia"/>
          <w:color w:val="auto"/>
        </w:rPr>
        <w:t>支持公共体育场馆社会化、市场化、专业化运营，推进“市－镇（乡）－街道（村）”三级公共体育设施和城市社区15分钟健身圈全覆盖。</w:t>
      </w:r>
    </w:p>
    <w:p w14:paraId="3904612D">
      <w:pPr>
        <w:pStyle w:val="4"/>
        <w:ind w:firstLine="479"/>
        <w:rPr>
          <w:color w:val="auto"/>
        </w:rPr>
      </w:pPr>
      <w:r>
        <w:rPr>
          <w:rFonts w:hint="eastAsia"/>
          <w:color w:val="auto"/>
        </w:rPr>
        <w:t>（二）</w:t>
      </w:r>
      <w:r>
        <w:rPr>
          <w:color w:val="auto"/>
        </w:rPr>
        <w:t>丰富全民健身活动场景</w:t>
      </w:r>
    </w:p>
    <w:p w14:paraId="05F0DD2C">
      <w:pPr>
        <w:ind w:firstLine="640"/>
        <w:rPr>
          <w:rFonts w:hint="eastAsia"/>
          <w:color w:val="auto"/>
          <w:lang w:val="en-US" w:eastAsia="zh-CN"/>
        </w:rPr>
      </w:pPr>
      <w:r>
        <w:rPr>
          <w:rFonts w:hint="eastAsia"/>
          <w:color w:val="auto"/>
          <w:lang w:val="en-US" w:eastAsia="zh-CN"/>
        </w:rPr>
        <w:t>办好村VA、龙舟赛等群众体育参与度高的体育赛事，高标准承办各级各类体育活动，广泛开展三大球、骑行、徒步武术、趣味运动会等群众喜闻乐见的体育活动，营造全民参与运动的氛围，推动全民健身发展。</w:t>
      </w:r>
    </w:p>
    <w:p w14:paraId="79357478">
      <w:pPr>
        <w:ind w:firstLine="640"/>
        <w:rPr>
          <w:color w:val="auto"/>
        </w:rPr>
      </w:pPr>
      <w:r>
        <w:rPr>
          <w:rFonts w:hint="eastAsia"/>
          <w:color w:val="auto"/>
          <w:lang w:val="en-US" w:eastAsia="zh-CN"/>
        </w:rPr>
        <w:t>大力发展以各类水上运动、沙滩运动以及路跑、骑行为主的休闲体育运动，积极培育群众体育品牌赛事活动，引导和吸引游客市民共同参与</w:t>
      </w:r>
      <w:r>
        <w:rPr>
          <w:color w:val="auto"/>
        </w:rPr>
        <w:t>。</w:t>
      </w:r>
    </w:p>
    <w:p w14:paraId="12C22186">
      <w:pPr>
        <w:pStyle w:val="4"/>
        <w:ind w:firstLine="479"/>
        <w:rPr>
          <w:color w:val="auto"/>
        </w:rPr>
      </w:pPr>
      <w:r>
        <w:rPr>
          <w:rFonts w:hint="eastAsia"/>
          <w:color w:val="auto"/>
        </w:rPr>
        <w:t>（三）</w:t>
      </w:r>
      <w:r>
        <w:rPr>
          <w:color w:val="auto"/>
        </w:rPr>
        <w:t>推</w:t>
      </w:r>
      <w:r>
        <w:rPr>
          <w:rFonts w:hint="eastAsia"/>
          <w:color w:val="auto"/>
          <w:lang w:val="en-US" w:eastAsia="zh-CN"/>
        </w:rPr>
        <w:t>进</w:t>
      </w:r>
      <w:r>
        <w:rPr>
          <w:color w:val="auto"/>
        </w:rPr>
        <w:t>体育社会组织建设</w:t>
      </w:r>
    </w:p>
    <w:p w14:paraId="704AB187">
      <w:pPr>
        <w:ind w:firstLine="640"/>
        <w:rPr>
          <w:rFonts w:hint="eastAsia"/>
          <w:color w:val="auto"/>
        </w:rPr>
      </w:pPr>
      <w:r>
        <w:rPr>
          <w:rFonts w:hint="eastAsia"/>
          <w:color w:val="auto"/>
        </w:rPr>
        <w:t>强化体育社会组织党建引领，加强全市各级体育总会建设</w:t>
      </w:r>
      <w:r>
        <w:rPr>
          <w:rFonts w:hint="eastAsia"/>
          <w:color w:val="auto"/>
          <w:lang w:eastAsia="zh-CN"/>
        </w:rPr>
        <w:t>，</w:t>
      </w:r>
      <w:r>
        <w:rPr>
          <w:rFonts w:hint="eastAsia"/>
          <w:color w:val="auto"/>
        </w:rPr>
        <w:t>力争</w:t>
      </w:r>
      <w:r>
        <w:rPr>
          <w:rFonts w:hint="eastAsia"/>
          <w:color w:val="auto"/>
          <w:lang w:val="en-US" w:eastAsia="zh-CN"/>
        </w:rPr>
        <w:t>到</w:t>
      </w:r>
      <w:r>
        <w:rPr>
          <w:rFonts w:hint="eastAsia"/>
          <w:color w:val="auto"/>
        </w:rPr>
        <w:t>2030年城市街道和农村乡镇建有全民健身队伍</w:t>
      </w:r>
      <w:r>
        <w:rPr>
          <w:rFonts w:hint="eastAsia"/>
          <w:color w:val="auto"/>
          <w:lang w:eastAsia="zh-CN"/>
        </w:rPr>
        <w:t>、</w:t>
      </w:r>
      <w:r>
        <w:rPr>
          <w:rFonts w:hint="eastAsia"/>
          <w:color w:val="auto"/>
        </w:rPr>
        <w:t>全民健身站（点）</w:t>
      </w:r>
      <w:r>
        <w:rPr>
          <w:rFonts w:hint="eastAsia"/>
          <w:color w:val="auto"/>
          <w:lang w:val="en-US" w:eastAsia="zh-CN"/>
        </w:rPr>
        <w:t>实现</w:t>
      </w:r>
      <w:r>
        <w:rPr>
          <w:rFonts w:hint="eastAsia"/>
          <w:color w:val="auto"/>
        </w:rPr>
        <w:t>100%覆盖。深化社会体育指导员管理制度改革，提高科学健身指导服务水平，培育社会体育指导员</w:t>
      </w:r>
      <w:r>
        <w:rPr>
          <w:rFonts w:hint="eastAsia"/>
          <w:color w:val="auto"/>
          <w:lang w:val="en-US" w:eastAsia="zh-CN"/>
        </w:rPr>
        <w:t>队伍</w:t>
      </w:r>
      <w:r>
        <w:rPr>
          <w:rFonts w:hint="eastAsia"/>
          <w:color w:val="auto"/>
        </w:rPr>
        <w:t>。建立退役运动员、体育教师、体育达人参与</w:t>
      </w:r>
      <w:r>
        <w:rPr>
          <w:rFonts w:hint="eastAsia"/>
          <w:color w:val="auto"/>
          <w:lang w:eastAsia="zh-CN"/>
        </w:rPr>
        <w:t>的</w:t>
      </w:r>
      <w:r>
        <w:rPr>
          <w:rFonts w:hint="eastAsia"/>
          <w:color w:val="auto"/>
        </w:rPr>
        <w:t>全民健身志愿服务指导机制，开展社会体育指导员、优秀运动员、教练员进乡村、进社区、进学校、进景区志愿服务活动。大力培育青少年体育俱乐部、社区体育俱乐部、体育健身团队等</w:t>
      </w:r>
      <w:r>
        <w:rPr>
          <w:rFonts w:hint="eastAsia"/>
          <w:color w:val="auto"/>
          <w:lang w:val="en-US" w:eastAsia="zh-CN"/>
        </w:rPr>
        <w:t>基层</w:t>
      </w:r>
      <w:r>
        <w:rPr>
          <w:rFonts w:hint="eastAsia"/>
          <w:color w:val="auto"/>
        </w:rPr>
        <w:t>体育健身组织，</w:t>
      </w:r>
      <w:r>
        <w:rPr>
          <w:rFonts w:hint="eastAsia"/>
          <w:color w:val="auto"/>
          <w:lang w:val="en-US" w:eastAsia="zh-CN"/>
        </w:rPr>
        <w:t>打造万宁</w:t>
      </w:r>
      <w:r>
        <w:rPr>
          <w:rFonts w:hint="eastAsia"/>
          <w:color w:val="auto"/>
        </w:rPr>
        <w:t>特色全民健身志愿服务项目。</w:t>
      </w:r>
    </w:p>
    <w:p w14:paraId="13F9BA4A">
      <w:pPr>
        <w:pStyle w:val="3"/>
        <w:spacing w:before="62" w:after="93"/>
        <w:ind w:firstLine="640"/>
        <w:rPr>
          <w:color w:val="auto"/>
        </w:rPr>
      </w:pPr>
      <w:bookmarkStart w:id="117" w:name="_Toc28556"/>
      <w:bookmarkStart w:id="118" w:name="_Toc31330"/>
      <w:bookmarkStart w:id="119" w:name="_Toc214297334"/>
      <w:bookmarkStart w:id="120" w:name="_Toc8367"/>
      <w:bookmarkStart w:id="121" w:name="_Toc7367"/>
      <w:bookmarkStart w:id="122" w:name="_Toc212622339"/>
      <w:bookmarkStart w:id="123" w:name="_Toc25186"/>
      <w:bookmarkStart w:id="124" w:name="_Toc28728"/>
      <w:bookmarkStart w:id="125" w:name="_Toc25623"/>
      <w:bookmarkStart w:id="126" w:name="_Toc26883"/>
      <w:bookmarkStart w:id="127" w:name="_Toc1678"/>
      <w:bookmarkStart w:id="128" w:name="_Toc22851"/>
      <w:bookmarkStart w:id="129" w:name="_Toc10837"/>
      <w:bookmarkStart w:id="130" w:name="_Toc16570"/>
      <w:bookmarkStart w:id="131" w:name="_Toc26239"/>
      <w:bookmarkStart w:id="132" w:name="_Toc31827"/>
      <w:bookmarkStart w:id="133" w:name="_Toc25478"/>
      <w:r>
        <w:rPr>
          <w:rFonts w:hint="eastAsia"/>
          <w:color w:val="auto"/>
        </w:rPr>
        <w:t>二、</w:t>
      </w:r>
      <w:r>
        <w:rPr>
          <w:color w:val="auto"/>
        </w:rPr>
        <w:t>增强体育产业发展动能</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812C412">
      <w:pPr>
        <w:pStyle w:val="4"/>
        <w:ind w:firstLine="47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cs="Times New Roman"/>
          <w:color w:val="auto"/>
          <w:lang w:val="en-US" w:eastAsia="zh-CN"/>
        </w:rPr>
        <w:t>一</w:t>
      </w:r>
      <w:r>
        <w:rPr>
          <w:rFonts w:hint="eastAsia" w:ascii="Times New Roman" w:hAnsi="Times New Roman" w:cs="Times New Roman"/>
          <w:color w:val="auto"/>
          <w:lang w:eastAsia="zh-CN"/>
        </w:rPr>
        <w:t>）</w:t>
      </w:r>
      <w:r>
        <w:rPr>
          <w:rFonts w:hint="eastAsia" w:ascii="Times New Roman" w:hAnsi="Times New Roman" w:cs="Times New Roman"/>
          <w:color w:val="auto"/>
        </w:rPr>
        <w:t>构建现代体育产业体系</w:t>
      </w:r>
    </w:p>
    <w:p w14:paraId="6EEC5C89">
      <w:pPr>
        <w:ind w:firstLine="643"/>
        <w:rPr>
          <w:rFonts w:hint="eastAsia"/>
          <w:color w:val="auto"/>
        </w:rPr>
      </w:pPr>
      <w:r>
        <w:rPr>
          <w:rFonts w:hint="eastAsia"/>
          <w:color w:val="auto"/>
        </w:rPr>
        <w:t>扩大体育制造业规模，引进国内外知名体育制造企业，壮大体育装备、器材、运动饮料等产业集群。培育健身休闲、竞赛表演、场馆服务、体育培训等体育服务业态，促进体育与工业、文化、旅游、康养、教育等产业深度融合，探索“工商文旅体”融合发展新路径。</w:t>
      </w:r>
    </w:p>
    <w:p w14:paraId="507F89DB">
      <w:pPr>
        <w:pStyle w:val="4"/>
        <w:ind w:firstLine="47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cs="Times New Roman"/>
          <w:color w:val="auto"/>
          <w:lang w:val="en-US" w:eastAsia="zh-CN"/>
        </w:rPr>
        <w:t>二</w:t>
      </w:r>
      <w:r>
        <w:rPr>
          <w:rFonts w:hint="eastAsia" w:ascii="Times New Roman" w:hAnsi="Times New Roman" w:cs="Times New Roman"/>
          <w:color w:val="auto"/>
          <w:lang w:eastAsia="zh-CN"/>
        </w:rPr>
        <w:t>）</w:t>
      </w:r>
      <w:r>
        <w:rPr>
          <w:rFonts w:hint="eastAsia" w:ascii="Times New Roman" w:hAnsi="Times New Roman" w:cs="Times New Roman"/>
          <w:color w:val="auto"/>
        </w:rPr>
        <w:t>做大做强体育市场主体</w:t>
      </w:r>
    </w:p>
    <w:p w14:paraId="5296C37A">
      <w:pPr>
        <w:ind w:firstLine="643"/>
        <w:rPr>
          <w:rFonts w:hint="eastAsia"/>
          <w:color w:val="auto"/>
        </w:rPr>
      </w:pPr>
      <w:r>
        <w:rPr>
          <w:rFonts w:hint="eastAsia"/>
          <w:color w:val="auto"/>
        </w:rPr>
        <w:t>支持重点体育企业发展，打造具有竞争力的体育制造、赛事运营企业，培育国际影响力的体育品牌。积极引进和培育配套企业。推动智能制造、大数据、人工智能等技术赋能体育企业发展。</w:t>
      </w:r>
    </w:p>
    <w:p w14:paraId="6A88FFDA">
      <w:pPr>
        <w:pStyle w:val="3"/>
        <w:spacing w:before="62" w:after="93"/>
        <w:ind w:firstLine="640"/>
        <w:rPr>
          <w:color w:val="auto"/>
        </w:rPr>
      </w:pPr>
      <w:bookmarkStart w:id="134" w:name="_Toc19108"/>
      <w:bookmarkStart w:id="135" w:name="_Toc19948"/>
      <w:bookmarkStart w:id="136" w:name="_Toc21966"/>
      <w:bookmarkStart w:id="137" w:name="_Toc3595"/>
      <w:bookmarkStart w:id="138" w:name="_Toc18927"/>
      <w:bookmarkStart w:id="139" w:name="_Toc18714"/>
      <w:bookmarkStart w:id="140" w:name="_Toc20751"/>
      <w:bookmarkStart w:id="141" w:name="_Toc2791"/>
      <w:bookmarkStart w:id="142" w:name="_Toc1857"/>
      <w:bookmarkStart w:id="143" w:name="_Toc9059"/>
      <w:bookmarkStart w:id="144" w:name="_Toc214297335"/>
      <w:bookmarkStart w:id="145" w:name="_Toc212622340"/>
      <w:bookmarkStart w:id="146" w:name="_Toc25667"/>
      <w:bookmarkStart w:id="147" w:name="_Toc9434"/>
      <w:bookmarkStart w:id="148" w:name="_Toc17243"/>
      <w:bookmarkStart w:id="149" w:name="_Toc23137"/>
      <w:bookmarkStart w:id="150" w:name="_Toc31863"/>
      <w:r>
        <w:rPr>
          <w:rFonts w:hint="eastAsia"/>
          <w:color w:val="auto"/>
        </w:rPr>
        <w:t>三、</w:t>
      </w:r>
      <w:r>
        <w:rPr>
          <w:color w:val="auto"/>
        </w:rPr>
        <w:t>建设国际</w:t>
      </w:r>
      <w:r>
        <w:rPr>
          <w:rFonts w:hint="eastAsia"/>
          <w:color w:val="auto"/>
        </w:rPr>
        <w:t>体育</w:t>
      </w:r>
      <w:r>
        <w:rPr>
          <w:color w:val="auto"/>
        </w:rPr>
        <w:t>赛事</w:t>
      </w:r>
      <w:r>
        <w:rPr>
          <w:rFonts w:hint="eastAsia"/>
          <w:color w:val="auto"/>
        </w:rPr>
        <w:t>名城</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24CC4615">
      <w:pPr>
        <w:pStyle w:val="4"/>
        <w:ind w:firstLine="479"/>
        <w:rPr>
          <w:color w:val="auto"/>
        </w:rPr>
      </w:pPr>
      <w:r>
        <w:rPr>
          <w:rFonts w:hint="eastAsia"/>
          <w:color w:val="auto"/>
        </w:rPr>
        <w:t>（一）</w:t>
      </w:r>
      <w:r>
        <w:rPr>
          <w:color w:val="auto"/>
        </w:rPr>
        <w:t>举办国际知名赛事</w:t>
      </w:r>
    </w:p>
    <w:p w14:paraId="4BA95F15">
      <w:pPr>
        <w:ind w:firstLine="640"/>
        <w:rPr>
          <w:color w:val="auto"/>
        </w:rPr>
      </w:pPr>
      <w:r>
        <w:rPr>
          <w:rFonts w:hint="eastAsia"/>
          <w:color w:val="auto"/>
        </w:rPr>
        <w:t>积极申办WSL世界冲浪巡回积分赛、全国冲浪锦标赛等国际、国内赛事。依托万宁文化体育广场等大型体育场馆，围绕“三大球”“三小球”、户外运动、海上运动等主流运动项目，推动有条件的国际品牌赛事长期落户万宁</w:t>
      </w:r>
      <w:r>
        <w:rPr>
          <w:color w:val="auto"/>
        </w:rPr>
        <w:t>。</w:t>
      </w:r>
    </w:p>
    <w:p w14:paraId="3BB17F19">
      <w:pPr>
        <w:pStyle w:val="4"/>
        <w:ind w:firstLine="479"/>
        <w:rPr>
          <w:color w:val="auto"/>
        </w:rPr>
      </w:pPr>
      <w:r>
        <w:rPr>
          <w:rFonts w:hint="eastAsia"/>
          <w:color w:val="auto"/>
        </w:rPr>
        <w:t>（二）</w:t>
      </w:r>
      <w:r>
        <w:rPr>
          <w:color w:val="auto"/>
        </w:rPr>
        <w:t>培育自主品牌赛事</w:t>
      </w:r>
    </w:p>
    <w:p w14:paraId="2365AD16">
      <w:pPr>
        <w:numPr>
          <w:ilvl w:val="255"/>
          <w:numId w:val="0"/>
        </w:numPr>
        <w:ind w:firstLine="640"/>
        <w:rPr>
          <w:rFonts w:hint="eastAsia" w:eastAsia="仿宋_GB2312"/>
          <w:color w:val="auto"/>
          <w:lang w:eastAsia="zh-CN"/>
        </w:rPr>
      </w:pPr>
      <w:r>
        <w:rPr>
          <w:rFonts w:hint="eastAsia"/>
          <w:color w:val="auto"/>
        </w:rPr>
        <w:t>围绕“侨”特色构建多元赛事矩阵，持续办好马拉松赛、龙舟赛、全国武术套路冠军赛等品牌活动，</w:t>
      </w:r>
      <w:r>
        <w:rPr>
          <w:color w:val="auto"/>
        </w:rPr>
        <w:t>鼓励“三大球”、帆船、自行车、赛车等有条件的运动项目举办职业赛事。</w:t>
      </w:r>
      <w:r>
        <w:rPr>
          <w:rFonts w:hint="eastAsia"/>
          <w:color w:val="auto"/>
        </w:rPr>
        <w:t>借助“琼超”足球联赛等平台扩大</w:t>
      </w:r>
      <w:r>
        <w:rPr>
          <w:rFonts w:hint="eastAsia"/>
          <w:color w:val="auto"/>
          <w:lang w:val="en-US" w:eastAsia="zh-CN"/>
        </w:rPr>
        <w:t>万宁</w:t>
      </w:r>
      <w:r>
        <w:rPr>
          <w:rFonts w:hint="eastAsia"/>
          <w:color w:val="auto"/>
        </w:rPr>
        <w:t>体育旅游影响力，</w:t>
      </w:r>
      <w:r>
        <w:rPr>
          <w:color w:val="auto"/>
        </w:rPr>
        <w:t>精心办好“村VA”“村BA”等群众性赛事</w:t>
      </w:r>
      <w:r>
        <w:rPr>
          <w:rFonts w:hint="eastAsia"/>
          <w:color w:val="auto"/>
          <w:lang w:eastAsia="zh-CN"/>
        </w:rPr>
        <w:t>活动。</w:t>
      </w:r>
    </w:p>
    <w:p w14:paraId="0EADF804">
      <w:pPr>
        <w:pStyle w:val="4"/>
        <w:ind w:firstLine="479"/>
        <w:rPr>
          <w:color w:val="auto"/>
        </w:rPr>
      </w:pPr>
      <w:r>
        <w:rPr>
          <w:rFonts w:hint="eastAsia"/>
          <w:color w:val="auto"/>
        </w:rPr>
        <w:t>（三）发展时尚潮流赛事</w:t>
      </w:r>
    </w:p>
    <w:p w14:paraId="68783F0F">
      <w:pPr>
        <w:pStyle w:val="23"/>
        <w:spacing w:after="93"/>
        <w:rPr>
          <w:color w:val="auto"/>
        </w:rPr>
      </w:pPr>
      <w:r>
        <w:rPr>
          <w:rFonts w:hint="eastAsia"/>
          <w:color w:val="auto"/>
        </w:rPr>
        <w:t>瞄准新兴体育市场，谋划发展电竞、匹克球、飞盘、街舞、滑板等新兴潮流运动。培育电子竞技、虚拟体育（虚拟自行车、虚拟滑雪、虚拟高尔夫等）、智能体育（智能骑行台、跑步机、划船机等）、模拟飞行等数字体育运动，打造一批沉浸式运动体验场景</w:t>
      </w:r>
      <w:r>
        <w:rPr>
          <w:color w:val="auto"/>
        </w:rPr>
        <w:t>。</w:t>
      </w:r>
    </w:p>
    <w:p w14:paraId="04F2B3E5">
      <w:pPr>
        <w:rPr>
          <w:rFonts w:hint="eastAsia" w:cs="仿宋_GB2312"/>
          <w:b w:val="0"/>
          <w:bCs w:val="0"/>
          <w:lang w:val="en-US" w:eastAsia="zh-CN"/>
        </w:rPr>
      </w:pPr>
      <w:r>
        <w:rPr>
          <w:rFonts w:hint="eastAsia" w:cs="仿宋_GB2312"/>
          <w:b w:val="0"/>
          <w:bCs w:val="0"/>
          <w:lang w:val="en-US" w:eastAsia="zh-CN"/>
        </w:rPr>
        <w:br w:type="page"/>
      </w:r>
    </w:p>
    <w:p w14:paraId="0B426274">
      <w:pPr>
        <w:pStyle w:val="2"/>
        <w:shd w:val="clear"/>
        <w:spacing w:after="62"/>
        <w:ind w:firstLine="0" w:firstLineChars="0"/>
        <w:jc w:val="center"/>
        <w:rPr>
          <w:rFonts w:hint="eastAsia" w:eastAsia="黑体"/>
          <w:b w:val="0"/>
          <w:bCs/>
          <w:color w:val="auto"/>
          <w:sz w:val="36"/>
          <w:szCs w:val="48"/>
          <w:highlight w:val="none"/>
          <w:lang w:eastAsia="zh-CN"/>
        </w:rPr>
      </w:pPr>
      <w:bookmarkStart w:id="151" w:name="_Toc2767"/>
      <w:bookmarkStart w:id="152" w:name="_Toc15501"/>
      <w:bookmarkStart w:id="153" w:name="_Toc15856"/>
      <w:r>
        <w:rPr>
          <w:rFonts w:hint="eastAsia"/>
          <w:b w:val="0"/>
          <w:bCs/>
          <w:color w:val="auto"/>
          <w:sz w:val="36"/>
          <w:szCs w:val="48"/>
          <w:highlight w:val="none"/>
        </w:rPr>
        <w:t>第</w:t>
      </w:r>
      <w:r>
        <w:rPr>
          <w:rFonts w:hint="eastAsia"/>
          <w:b w:val="0"/>
          <w:bCs/>
          <w:color w:val="auto"/>
          <w:sz w:val="36"/>
          <w:szCs w:val="48"/>
          <w:highlight w:val="none"/>
          <w:lang w:val="en-US" w:eastAsia="zh-CN"/>
        </w:rPr>
        <w:t>六</w:t>
      </w:r>
      <w:r>
        <w:rPr>
          <w:rFonts w:hint="eastAsia"/>
          <w:b w:val="0"/>
          <w:bCs/>
          <w:color w:val="auto"/>
          <w:sz w:val="36"/>
          <w:szCs w:val="48"/>
          <w:highlight w:val="none"/>
        </w:rPr>
        <w:t xml:space="preserve">章 </w:t>
      </w:r>
      <w:r>
        <w:rPr>
          <w:rFonts w:hint="eastAsia"/>
          <w:b w:val="0"/>
          <w:bCs/>
          <w:color w:val="auto"/>
          <w:sz w:val="36"/>
          <w:szCs w:val="48"/>
          <w:highlight w:val="none"/>
          <w:lang w:val="en-US" w:eastAsia="zh-CN"/>
        </w:rPr>
        <w:t>促进</w:t>
      </w:r>
      <w:r>
        <w:rPr>
          <w:rFonts w:hint="eastAsia"/>
          <w:b w:val="0"/>
          <w:bCs/>
          <w:color w:val="auto"/>
          <w:sz w:val="36"/>
          <w:szCs w:val="48"/>
          <w:highlight w:val="none"/>
        </w:rPr>
        <w:t>旅游服务</w:t>
      </w:r>
      <w:bookmarkEnd w:id="151"/>
      <w:r>
        <w:rPr>
          <w:rFonts w:hint="eastAsia"/>
          <w:b w:val="0"/>
          <w:bCs/>
          <w:color w:val="auto"/>
          <w:sz w:val="36"/>
          <w:szCs w:val="48"/>
          <w:highlight w:val="none"/>
          <w:lang w:val="en-US" w:eastAsia="zh-CN"/>
        </w:rPr>
        <w:t>升级</w:t>
      </w:r>
      <w:bookmarkEnd w:id="152"/>
      <w:bookmarkEnd w:id="153"/>
    </w:p>
    <w:p w14:paraId="0FC38ACC">
      <w:pPr>
        <w:pStyle w:val="3"/>
        <w:shd w:val="clear"/>
        <w:spacing w:before="62" w:after="93"/>
        <w:ind w:firstLine="643"/>
        <w:jc w:val="left"/>
        <w:rPr>
          <w:rFonts w:hint="eastAsia"/>
          <w:b w:val="0"/>
          <w:bCs/>
          <w:color w:val="auto"/>
          <w:highlight w:val="none"/>
          <w:lang w:val="en-US" w:eastAsia="zh-CN"/>
        </w:rPr>
      </w:pPr>
      <w:bookmarkStart w:id="154" w:name="_Toc18926"/>
      <w:bookmarkStart w:id="155" w:name="_Toc13148"/>
      <w:bookmarkStart w:id="156" w:name="_Toc18512"/>
      <w:bookmarkStart w:id="157" w:name="_Toc7268"/>
      <w:bookmarkStart w:id="158" w:name="_Toc15518"/>
      <w:bookmarkStart w:id="159" w:name="_Toc22053"/>
      <w:bookmarkStart w:id="160" w:name="_Toc8436"/>
      <w:bookmarkStart w:id="161" w:name="_Toc20927"/>
      <w:r>
        <w:rPr>
          <w:rFonts w:hint="eastAsia"/>
          <w:b w:val="0"/>
          <w:bCs/>
          <w:color w:val="auto"/>
          <w:highlight w:val="none"/>
          <w:lang w:val="en-US" w:eastAsia="zh-CN"/>
        </w:rPr>
        <w:t>一、强化服务要素供给</w:t>
      </w:r>
      <w:bookmarkEnd w:id="154"/>
      <w:bookmarkEnd w:id="155"/>
      <w:bookmarkEnd w:id="156"/>
      <w:bookmarkEnd w:id="157"/>
      <w:bookmarkEnd w:id="158"/>
      <w:bookmarkEnd w:id="159"/>
      <w:bookmarkEnd w:id="160"/>
      <w:bookmarkEnd w:id="161"/>
    </w:p>
    <w:p w14:paraId="74E81DFC">
      <w:pPr>
        <w:pStyle w:val="4"/>
        <w:shd w:val="clear"/>
        <w:ind w:firstLine="479"/>
        <w:rPr>
          <w:rFonts w:hint="default"/>
          <w:color w:val="auto"/>
          <w:highlight w:val="none"/>
          <w:lang w:val="en-US" w:eastAsia="zh-CN"/>
        </w:rPr>
      </w:pPr>
      <w:r>
        <w:rPr>
          <w:rFonts w:hint="eastAsia"/>
          <w:color w:val="auto"/>
          <w:highlight w:val="none"/>
          <w:lang w:val="en-US" w:eastAsia="zh-CN"/>
        </w:rPr>
        <w:t>（一）旅游餐饮特色化</w:t>
      </w:r>
    </w:p>
    <w:p w14:paraId="744814EA">
      <w:pPr>
        <w:rPr>
          <w:rFonts w:hint="eastAsia"/>
          <w:highlight w:val="none"/>
          <w:lang w:val="en-US" w:eastAsia="zh-CN"/>
        </w:rPr>
      </w:pPr>
      <w:r>
        <w:rPr>
          <w:rFonts w:hint="eastAsia"/>
          <w:b/>
          <w:bCs/>
          <w:highlight w:val="none"/>
          <w:lang w:val="en-US" w:eastAsia="zh-CN"/>
        </w:rPr>
        <w:t>建成海鲜美食集聚区。</w:t>
      </w:r>
      <w:r>
        <w:rPr>
          <w:rFonts w:hint="eastAsia"/>
          <w:highlight w:val="none"/>
          <w:lang w:val="en-US" w:eastAsia="zh-CN"/>
        </w:rPr>
        <w:t>以日月湾、石梅湾沿线及乌场一级渔港为重点，建设海鲜交易市场、网红海鲜餐厅、海员俱乐部等餐饮消费载体，提升现有海鲜酒楼知名度，配套打造渔港烟火秀、渔人码头等文旅项目，形成海鲜美食集聚地。</w:t>
      </w:r>
    </w:p>
    <w:p w14:paraId="395D123E">
      <w:pPr>
        <w:rPr>
          <w:rFonts w:hint="eastAsia"/>
          <w:highlight w:val="none"/>
          <w:lang w:val="en-US" w:eastAsia="zh-CN"/>
        </w:rPr>
      </w:pPr>
      <w:r>
        <w:rPr>
          <w:rFonts w:hint="eastAsia"/>
          <w:b/>
          <w:bCs/>
          <w:highlight w:val="none"/>
          <w:lang w:val="en-US" w:eastAsia="zh-CN"/>
        </w:rPr>
        <w:t>打造特色美食打卡地。</w:t>
      </w:r>
      <w:r>
        <w:rPr>
          <w:rFonts w:hint="eastAsia"/>
          <w:highlight w:val="none"/>
          <w:lang w:val="en-US" w:eastAsia="zh-CN"/>
        </w:rPr>
        <w:t>利用石梅湾九里旅游休闲街区、神州半岛商业街、王府井国际免税商城等空间，引进老字号、精品酒吧、高端咖啡、网红餐饮等特色品牌；沿滨海文旅湾区体验带布局音乐主题类餐饮休闲业态，打造国际餐饮休闲街区；以兴隆1951侨乡风情夜市等街区为重点，发展南洋风味美食；提升东城夜市、日月湾·浪花集市等消费品牌，打造精品啤酒夜市，举办美食嘉年华、海风啤酒节等活动。</w:t>
      </w:r>
    </w:p>
    <w:p w14:paraId="24AC194B">
      <w:pPr>
        <w:rPr>
          <w:rFonts w:hint="eastAsia"/>
          <w:highlight w:val="none"/>
          <w:lang w:val="en-US" w:eastAsia="zh-CN"/>
        </w:rPr>
      </w:pPr>
      <w:r>
        <w:rPr>
          <w:rFonts w:hint="eastAsia"/>
          <w:b/>
          <w:bCs/>
          <w:highlight w:val="none"/>
          <w:lang w:val="en-US" w:eastAsia="zh-CN"/>
        </w:rPr>
        <w:t>打造琼岛佳肴餐饮品牌。</w:t>
      </w:r>
      <w:r>
        <w:rPr>
          <w:rFonts w:hint="eastAsia"/>
          <w:highlight w:val="none"/>
          <w:lang w:val="en-US" w:eastAsia="zh-CN"/>
        </w:rPr>
        <w:t>落实海南省餐饮发展行动方案，推广东山羊、和乐蟹、后安粉汤等特色餐饮，讲好万宁美食故事。加快美食街区创建，丰富万宁美食地图。实施“互联网+明厨亮灶”，倡导“光盘行动”，引导绿色餐饮消费新风尚。</w:t>
      </w:r>
    </w:p>
    <w:p w14:paraId="41A52328">
      <w:pPr>
        <w:pStyle w:val="4"/>
        <w:shd w:val="clear"/>
        <w:ind w:firstLine="479"/>
        <w:rPr>
          <w:rFonts w:hint="default"/>
          <w:color w:val="auto"/>
          <w:highlight w:val="none"/>
          <w:lang w:val="en-US" w:eastAsia="zh-CN"/>
        </w:rPr>
      </w:pPr>
      <w:r>
        <w:rPr>
          <w:rFonts w:hint="eastAsia"/>
          <w:color w:val="auto"/>
          <w:highlight w:val="none"/>
          <w:lang w:val="en-US" w:eastAsia="zh-CN"/>
        </w:rPr>
        <w:t>（二）旅游住宿品质化</w:t>
      </w:r>
    </w:p>
    <w:p w14:paraId="41183424">
      <w:pPr>
        <w:rPr>
          <w:rFonts w:hint="eastAsia"/>
          <w:highlight w:val="none"/>
          <w:lang w:val="en-US" w:eastAsia="zh-CN"/>
        </w:rPr>
      </w:pPr>
      <w:r>
        <w:rPr>
          <w:rFonts w:hint="eastAsia"/>
          <w:b/>
          <w:bCs/>
          <w:highlight w:val="none"/>
          <w:lang w:val="en-US" w:eastAsia="zh-CN"/>
        </w:rPr>
        <w:t>推动精品酒店高质量发展。</w:t>
      </w:r>
      <w:r>
        <w:rPr>
          <w:rFonts w:hint="eastAsia"/>
          <w:highlight w:val="none"/>
          <w:lang w:val="en-US" w:eastAsia="zh-CN"/>
        </w:rPr>
        <w:t>加快推进神州半岛银河湾高端酒店、海南国际养生城一期君澜度假酒店建设；以日月湾、石梅湾、神州半岛、兴隆旅游区为核心，引入国际高端品牌酒店，增强国际游客吸引力。提升现有酒店配套设施与服务品质，指导住宿企业融合历史、革命、海洋、侨乡等文化元素，对酒店风格进行微改造，建设一批文化主题酒店。</w:t>
      </w:r>
    </w:p>
    <w:p w14:paraId="00C7FF5E">
      <w:pPr>
        <w:rPr>
          <w:rFonts w:hint="eastAsia"/>
          <w:highlight w:val="none"/>
          <w:lang w:val="en-US" w:eastAsia="zh-CN"/>
        </w:rPr>
      </w:pPr>
      <w:r>
        <w:rPr>
          <w:rFonts w:hint="eastAsia"/>
          <w:b/>
          <w:bCs/>
          <w:highlight w:val="none"/>
          <w:lang w:val="en-US" w:eastAsia="zh-CN"/>
        </w:rPr>
        <w:t>培育万宁特色民宿集群。</w:t>
      </w:r>
      <w:r>
        <w:rPr>
          <w:rFonts w:hint="eastAsia"/>
          <w:highlight w:val="none"/>
          <w:lang w:val="en-US" w:eastAsia="zh-CN"/>
        </w:rPr>
        <w:t>全面梳理礼纪镇</w:t>
      </w:r>
      <w:r>
        <w:rPr>
          <w:rFonts w:hint="eastAsia"/>
          <w:color w:val="000000" w:themeColor="text1"/>
          <w:highlight w:val="none"/>
          <w:lang w:val="en-US" w:eastAsia="zh-CN"/>
          <w14:textFill>
            <w14:solidFill>
              <w14:schemeClr w14:val="tx1"/>
            </w14:solidFill>
          </w14:textFill>
        </w:rPr>
        <w:t>田新村、排溪村、小海片区、石梅村</w:t>
      </w:r>
      <w:r>
        <w:rPr>
          <w:rFonts w:hint="eastAsia"/>
          <w:highlight w:val="none"/>
          <w:lang w:val="en-US" w:eastAsia="zh-CN"/>
        </w:rPr>
        <w:t>等可用空间，引入花间堂、花筑等知名民宿品牌，形成“枕海栖居”最美民宿群。支持X435县道沿线等发展精品民宿和星级农家乐，依托景区、旅游度假区布局集装箱房、胶囊旅馆、网红客栈等多元业态，推动民宿产业特色化、精品化发展。</w:t>
      </w:r>
    </w:p>
    <w:p w14:paraId="7F1B106D">
      <w:pPr>
        <w:rPr>
          <w:rFonts w:hint="eastAsia"/>
          <w:highlight w:val="none"/>
          <w:lang w:val="en-US" w:eastAsia="zh-CN"/>
        </w:rPr>
      </w:pPr>
      <w:r>
        <w:rPr>
          <w:rFonts w:hint="eastAsia"/>
          <w:b/>
          <w:bCs/>
          <w:highlight w:val="none"/>
          <w:lang w:val="en-US" w:eastAsia="zh-CN"/>
        </w:rPr>
        <w:t>构建万宁生态营地体系。</w:t>
      </w:r>
      <w:r>
        <w:rPr>
          <w:rFonts w:hint="eastAsia"/>
          <w:highlight w:val="none"/>
          <w:lang w:val="en-US" w:eastAsia="zh-CN"/>
        </w:rPr>
        <w:t>以环岛旅游公路、环万宁小海区域为纽带，布局房车营地、帐篷营地等露营休闲设施，打造星空屋、泡泡屋、树屋等营地业态，增强个性化、定制化住宿服务品质，构建布局合理、类型丰富的营地服务体系。</w:t>
      </w:r>
    </w:p>
    <w:p w14:paraId="32E47D14">
      <w:pPr>
        <w:pStyle w:val="4"/>
        <w:shd w:val="clear"/>
        <w:ind w:firstLine="479"/>
        <w:rPr>
          <w:rFonts w:hint="default"/>
          <w:color w:val="auto"/>
          <w:highlight w:val="none"/>
          <w:lang w:val="en-US" w:eastAsia="zh-CN"/>
        </w:rPr>
      </w:pPr>
      <w:r>
        <w:rPr>
          <w:rFonts w:hint="eastAsia"/>
          <w:color w:val="auto"/>
          <w:highlight w:val="none"/>
          <w:lang w:val="en-US" w:eastAsia="zh-CN"/>
        </w:rPr>
        <w:t>（三）旅游交通便利化</w:t>
      </w:r>
    </w:p>
    <w:p w14:paraId="758743B9">
      <w:pPr>
        <w:rPr>
          <w:rFonts w:hint="eastAsia"/>
          <w:highlight w:val="none"/>
          <w:lang w:val="en-US" w:eastAsia="zh-CN"/>
        </w:rPr>
      </w:pPr>
      <w:r>
        <w:rPr>
          <w:rFonts w:hint="eastAsia"/>
          <w:b/>
          <w:bCs/>
          <w:highlight w:val="none"/>
          <w:lang w:val="en-US" w:eastAsia="zh-CN"/>
        </w:rPr>
        <w:t>建设便捷通达公路网络。</w:t>
      </w:r>
      <w:r>
        <w:rPr>
          <w:rFonts w:hint="eastAsia"/>
          <w:highlight w:val="none"/>
          <w:lang w:val="en-US" w:eastAsia="zh-CN"/>
        </w:rPr>
        <w:t>依托省旅游公路2.0版建设岛旅游公路石梅湾—日月湾—香水湾段，强化各大湾区、旅游景区、高铁站点、环万宁小海周边路网互通，推进山钦蓝梦、大洲燕呢、花角锦绣等环岛驿站建设。加快构建多元化旅游交通系统，增加全市区间车、租赁车、网约车供给，实施旅游旺季景区和景区之间、景区与酒店之间交通畅通工程，探索旅游交通服务平台建设，推动交通出行绿色低碳转型。</w:t>
      </w:r>
    </w:p>
    <w:p w14:paraId="2A9A0DCF">
      <w:pPr>
        <w:rPr>
          <w:rFonts w:hint="eastAsia"/>
          <w:highlight w:val="none"/>
          <w:lang w:val="en-US" w:eastAsia="zh-CN"/>
        </w:rPr>
      </w:pPr>
      <w:r>
        <w:rPr>
          <w:rFonts w:hint="eastAsia"/>
          <w:b/>
          <w:bCs/>
          <w:highlight w:val="none"/>
          <w:lang w:val="en-US" w:eastAsia="zh-CN"/>
        </w:rPr>
        <w:t>推动港口码头转型升级。</w:t>
      </w:r>
      <w:r>
        <w:rPr>
          <w:rFonts w:hint="eastAsia"/>
          <w:highlight w:val="none"/>
          <w:lang w:val="en-US" w:eastAsia="zh-CN"/>
        </w:rPr>
        <w:t>谋划推进神州半岛游艇码头、万城至乌场疏港大道等项目，以及日月湾、老爷海、港北、小海、太阳河口等区域游艇码头建设，完善游艇码头公共基础设施配套和“智慧游艇码头”平台，加强游艇产业质量安全监管，推动游艇产业与旅游、文化、体育等产业融合发展。</w:t>
      </w:r>
    </w:p>
    <w:p w14:paraId="7EE2860B">
      <w:pPr>
        <w:rPr>
          <w:rFonts w:hint="eastAsia"/>
          <w:highlight w:val="none"/>
          <w:lang w:val="en-US" w:eastAsia="zh-CN"/>
        </w:rPr>
      </w:pPr>
      <w:r>
        <w:rPr>
          <w:rFonts w:hint="eastAsia"/>
          <w:b/>
          <w:bCs/>
          <w:highlight w:val="none"/>
          <w:lang w:val="en-US" w:eastAsia="zh-CN"/>
        </w:rPr>
        <w:t>构建旅游风景廊道体系。</w:t>
      </w:r>
      <w:r>
        <w:rPr>
          <w:rFonts w:hint="eastAsia"/>
          <w:highlight w:val="none"/>
          <w:lang w:val="en-US" w:eastAsia="zh-CN"/>
        </w:rPr>
        <w:t>通过环岛旅游公路串联东澳、神州半岛、南燕湾、石梅湾、日月湾等滨海区，推进滨海岸线生态修复、文化挖掘、景观提升、滨海栈道建设，打造滨海湾区体验廊道。以兴梅大道串联石梅湾、兴隆区、农场等功能区，</w:t>
      </w:r>
      <w:r>
        <w:rPr>
          <w:rFonts w:hint="default"/>
          <w:highlight w:val="none"/>
          <w:lang w:val="en-US" w:eastAsia="zh-CN"/>
        </w:rPr>
        <w:t>整</w:t>
      </w:r>
      <w:r>
        <w:rPr>
          <w:rFonts w:hint="eastAsia"/>
          <w:highlight w:val="none"/>
          <w:lang w:val="en-US" w:eastAsia="zh-CN"/>
        </w:rPr>
        <w:t>合滨湖度假、山地运动、华侨文化、温泉养生、雨林体验、购物娱乐等功能，打造山海联动风情廊道。围绕小海、太阳河、龙滚河等区域，探索打造骑行绿道。</w:t>
      </w:r>
    </w:p>
    <w:p w14:paraId="11BEAB5A">
      <w:pPr>
        <w:pStyle w:val="4"/>
        <w:shd w:val="clear"/>
        <w:ind w:firstLine="479"/>
        <w:rPr>
          <w:rFonts w:hint="default"/>
          <w:color w:val="auto"/>
          <w:highlight w:val="none"/>
          <w:lang w:val="en-US" w:eastAsia="zh-CN"/>
        </w:rPr>
      </w:pPr>
      <w:r>
        <w:rPr>
          <w:rFonts w:hint="eastAsia"/>
          <w:color w:val="auto"/>
          <w:highlight w:val="none"/>
          <w:lang w:val="en-US" w:eastAsia="zh-CN"/>
        </w:rPr>
        <w:t>（四）旅游游览丰富化</w:t>
      </w:r>
    </w:p>
    <w:p w14:paraId="7E668613">
      <w:pPr>
        <w:rPr>
          <w:rFonts w:hint="eastAsia"/>
          <w:highlight w:val="none"/>
          <w:lang w:val="en-US" w:eastAsia="zh-CN"/>
        </w:rPr>
      </w:pPr>
      <w:r>
        <w:rPr>
          <w:rFonts w:hint="eastAsia"/>
          <w:b/>
          <w:bCs/>
          <w:highlight w:val="none"/>
          <w:lang w:val="en-US" w:eastAsia="zh-CN"/>
        </w:rPr>
        <w:t>推出系列精品旅游线路。</w:t>
      </w:r>
      <w:r>
        <w:rPr>
          <w:rFonts w:hint="eastAsia"/>
          <w:highlight w:val="none"/>
          <w:lang w:val="en-US" w:eastAsia="zh-CN"/>
        </w:rPr>
        <w:t>串联燕子洞、正门岭大桥、大花角、桥海牧场、海边书屋、海岛礼堂等网红打卡点，打造蔚蓝万宁·滨海自驾游。整合高尔夫、冲浪、摩托艇、海钓、潜水、帆船等户外运动产品，打造活力万宁·激情运动游。覆盖免税国际大牌、体育装备、特色农文旅商品购物场景，打造潮乐万宁·时尚购物游。体验万宁红色、侨乡、咖啡、乡村等多彩文化，打造风情万宁·研学探秘游。</w:t>
      </w:r>
    </w:p>
    <w:p w14:paraId="3C5AB85A">
      <w:pPr>
        <w:rPr>
          <w:rFonts w:hint="default"/>
          <w:highlight w:val="none"/>
          <w:lang w:val="en-US" w:eastAsia="zh-CN"/>
        </w:rPr>
      </w:pPr>
      <w:r>
        <w:rPr>
          <w:rFonts w:hint="default"/>
          <w:b/>
          <w:bCs/>
          <w:highlight w:val="none"/>
          <w:lang w:val="en-US" w:eastAsia="zh-CN"/>
        </w:rPr>
        <w:t>构建多元文化游览空间。</w:t>
      </w:r>
      <w:r>
        <w:rPr>
          <w:rFonts w:hint="default"/>
          <w:b w:val="0"/>
          <w:bCs w:val="0"/>
          <w:highlight w:val="none"/>
          <w:lang w:val="en-US" w:eastAsia="zh-CN"/>
        </w:rPr>
        <w:t>依托万宁文体中心、华侨文化交流中心、城市书房等载体，引入咖啡简餐、文创展销业态，打造综合性城市休闲文化空间。推动博物馆、图书馆、非遗展示馆开发特色研学课程、完善配套服务，打造特色研学旅行基地。深挖文化场馆空间价值</w:t>
      </w:r>
      <w:r>
        <w:rPr>
          <w:rFonts w:hint="eastAsia"/>
          <w:b w:val="0"/>
          <w:bCs w:val="0"/>
          <w:highlight w:val="none"/>
          <w:lang w:val="en-US" w:eastAsia="zh-CN"/>
        </w:rPr>
        <w:t>，</w:t>
      </w:r>
      <w:r>
        <w:rPr>
          <w:rFonts w:hint="default"/>
          <w:b w:val="0"/>
          <w:bCs w:val="0"/>
          <w:highlight w:val="none"/>
          <w:lang w:val="en-US" w:eastAsia="zh-CN"/>
        </w:rPr>
        <w:t>打造沉浸式历史剧场，开发文创IP延伸文旅产业链</w:t>
      </w:r>
      <w:r>
        <w:rPr>
          <w:rFonts w:hint="eastAsia"/>
          <w:b w:val="0"/>
          <w:bCs w:val="0"/>
          <w:highlight w:val="none"/>
          <w:lang w:val="en-US" w:eastAsia="zh-CN"/>
        </w:rPr>
        <w:t>，</w:t>
      </w:r>
      <w:r>
        <w:rPr>
          <w:rFonts w:hint="default"/>
          <w:b w:val="0"/>
          <w:bCs w:val="0"/>
          <w:highlight w:val="none"/>
          <w:lang w:val="en-US" w:eastAsia="zh-CN"/>
        </w:rPr>
        <w:t>常态化</w:t>
      </w:r>
      <w:r>
        <w:rPr>
          <w:rFonts w:hint="eastAsia"/>
          <w:b w:val="0"/>
          <w:bCs w:val="0"/>
          <w:highlight w:val="none"/>
          <w:lang w:val="en-US" w:eastAsia="zh-CN"/>
        </w:rPr>
        <w:t>举办</w:t>
      </w:r>
      <w:r>
        <w:rPr>
          <w:rFonts w:hint="default"/>
          <w:b w:val="0"/>
          <w:bCs w:val="0"/>
          <w:highlight w:val="none"/>
          <w:lang w:val="en-US" w:eastAsia="zh-CN"/>
        </w:rPr>
        <w:t>知识竞赛、主题展览等活动，</w:t>
      </w:r>
      <w:r>
        <w:rPr>
          <w:rFonts w:hint="default"/>
          <w:highlight w:val="none"/>
          <w:lang w:val="en-US" w:eastAsia="zh-CN"/>
        </w:rPr>
        <w:t>推动文化场馆成为展示</w:t>
      </w:r>
      <w:r>
        <w:rPr>
          <w:rFonts w:hint="eastAsia"/>
          <w:highlight w:val="none"/>
          <w:lang w:val="en-US" w:eastAsia="zh-CN"/>
        </w:rPr>
        <w:t>万宁</w:t>
      </w:r>
      <w:r>
        <w:rPr>
          <w:rFonts w:hint="default"/>
          <w:highlight w:val="none"/>
          <w:lang w:val="en-US" w:eastAsia="zh-CN"/>
        </w:rPr>
        <w:t>城市文化魅力的重要窗口和文旅融合发展的标志性载体。</w:t>
      </w:r>
    </w:p>
    <w:p w14:paraId="0547A113">
      <w:pPr>
        <w:pStyle w:val="4"/>
        <w:shd w:val="clear"/>
        <w:ind w:firstLine="479"/>
        <w:rPr>
          <w:rFonts w:hint="default"/>
          <w:color w:val="auto"/>
          <w:highlight w:val="none"/>
          <w:lang w:val="en-US" w:eastAsia="zh-CN"/>
        </w:rPr>
      </w:pPr>
      <w:r>
        <w:rPr>
          <w:rFonts w:hint="eastAsia"/>
          <w:color w:val="auto"/>
          <w:highlight w:val="none"/>
          <w:lang w:val="en-US" w:eastAsia="zh-CN"/>
        </w:rPr>
        <w:t>（五）旅游购物多样化</w:t>
      </w:r>
    </w:p>
    <w:p w14:paraId="0DF58853">
      <w:pPr>
        <w:rPr>
          <w:rFonts w:hint="eastAsia"/>
          <w:highlight w:val="none"/>
          <w:lang w:val="en-US" w:eastAsia="zh-CN"/>
        </w:rPr>
      </w:pPr>
      <w:r>
        <w:rPr>
          <w:rFonts w:hint="eastAsia"/>
          <w:b/>
          <w:bCs/>
          <w:highlight w:val="none"/>
          <w:lang w:val="en-US" w:eastAsia="zh-CN"/>
        </w:rPr>
        <w:t>打造享购万宁消费品牌。</w:t>
      </w:r>
      <w:r>
        <w:rPr>
          <w:rFonts w:hint="eastAsia"/>
          <w:highlight w:val="none"/>
          <w:lang w:val="en-US" w:eastAsia="zh-CN"/>
        </w:rPr>
        <w:t>加快王府井等旅游商品售卖中心建设，促进旅游商品补链延链，构建研发、设计、生产、销售一体化的旅游商品体系；配合省相关部门培育免税购物消费新模式，引导企业参与线上线下全球销售活动。发展时尚消费、高端零售和都市娱乐业态，招引品牌首店、旗舰店、网红体验店，丰富潮流活动、亲子运动等消费场景，打造高品质消费商圈和旅游目的地。</w:t>
      </w:r>
    </w:p>
    <w:p w14:paraId="7C654846">
      <w:pPr>
        <w:rPr>
          <w:rFonts w:hint="eastAsia"/>
          <w:highlight w:val="none"/>
          <w:lang w:val="en-US" w:eastAsia="zh-CN"/>
        </w:rPr>
      </w:pPr>
      <w:r>
        <w:rPr>
          <w:rFonts w:hint="eastAsia"/>
          <w:b/>
          <w:bCs/>
          <w:highlight w:val="none"/>
          <w:lang w:val="en-US" w:eastAsia="zh-CN"/>
        </w:rPr>
        <w:t>壮大万宁新型消费经济。</w:t>
      </w:r>
      <w:r>
        <w:rPr>
          <w:rFonts w:hint="eastAsia"/>
          <w:highlight w:val="none"/>
          <w:lang w:val="en-US" w:eastAsia="zh-CN"/>
        </w:rPr>
        <w:t>推动康养、绿色、文旅等消费扩量提质。加大体育赛事、文化演出供给，大力发展夜间经济、即时经济、首发经济、直播经济，培育更多有“烟火气、万宁味”的消费新场景，围绕滨海湾区布局特色餐饮、文化体验、商务服务、主题消费，打造最具烟火气的海岸线。</w:t>
      </w:r>
    </w:p>
    <w:p w14:paraId="44CC2869">
      <w:pPr>
        <w:rPr>
          <w:rFonts w:hint="eastAsia"/>
          <w:highlight w:val="none"/>
          <w:lang w:val="en-US" w:eastAsia="zh-CN"/>
        </w:rPr>
      </w:pPr>
      <w:r>
        <w:rPr>
          <w:rFonts w:hint="eastAsia"/>
          <w:b/>
          <w:bCs/>
          <w:highlight w:val="none"/>
          <w:lang w:val="en-US" w:eastAsia="zh-CN"/>
        </w:rPr>
        <w:t>开发“万宁有礼”旅游商品品牌。</w:t>
      </w:r>
      <w:r>
        <w:rPr>
          <w:rFonts w:hint="eastAsia"/>
          <w:highlight w:val="none"/>
          <w:lang w:val="en-US" w:eastAsia="zh-CN"/>
        </w:rPr>
        <w:t>突出万宁文化特色，将华侨、咖啡、红色等元素融入产品设计，推出“万宁礼物”“兴隆文创”系列旅游商品，支持旅游企业参加省级、国家级旅游商品大赛。在高铁</w:t>
      </w:r>
      <w:r>
        <w:rPr>
          <w:rFonts w:hint="eastAsia"/>
          <w:highlight w:val="none"/>
        </w:rPr>
        <w:t>/</w:t>
      </w:r>
      <w:r>
        <w:rPr>
          <w:rFonts w:hint="eastAsia"/>
          <w:highlight w:val="none"/>
          <w:lang w:val="en-US" w:eastAsia="zh-CN"/>
        </w:rPr>
        <w:t>高速服务区、环岛旅游公路驿站、三星级及以上酒店设立旅游商品名品馆，构建旅游商品营销体系。</w:t>
      </w:r>
    </w:p>
    <w:p w14:paraId="6F7EE324">
      <w:pPr>
        <w:pStyle w:val="4"/>
        <w:shd w:val="clear"/>
        <w:ind w:firstLine="479"/>
        <w:rPr>
          <w:rFonts w:hint="default"/>
          <w:color w:val="auto"/>
          <w:highlight w:val="none"/>
          <w:lang w:val="en-US" w:eastAsia="zh-CN"/>
        </w:rPr>
      </w:pPr>
      <w:r>
        <w:rPr>
          <w:rFonts w:hint="eastAsia"/>
          <w:color w:val="auto"/>
          <w:highlight w:val="none"/>
          <w:lang w:val="en-US" w:eastAsia="zh-CN"/>
        </w:rPr>
        <w:t>（六）旅游娱乐前沿化</w:t>
      </w:r>
    </w:p>
    <w:p w14:paraId="0CEAEF49">
      <w:pPr>
        <w:rPr>
          <w:rFonts w:hint="eastAsia"/>
          <w:highlight w:val="none"/>
          <w:lang w:val="en-US" w:eastAsia="zh-CN"/>
        </w:rPr>
      </w:pPr>
      <w:r>
        <w:rPr>
          <w:rFonts w:hint="eastAsia"/>
          <w:b/>
          <w:bCs/>
          <w:highlight w:val="none"/>
          <w:lang w:val="en-US" w:eastAsia="zh-CN"/>
        </w:rPr>
        <w:t>引导夜间娱乐业态集聚发展。</w:t>
      </w:r>
      <w:r>
        <w:rPr>
          <w:rFonts w:hint="eastAsia"/>
          <w:highlight w:val="none"/>
          <w:lang w:val="en-US" w:eastAsia="zh-CN"/>
        </w:rPr>
        <w:t>以城区、兴隆旅游区等为重点，统筹全天候业态布局，举办夜间文艺演出、非遗展演、体育赛事等活动，引导夜间休闲娱乐业态集聚发展，建设特色旅游休闲街区；以滨海湾区、王府井国际免税港旅游休闲街区等为载体，培育深夜影院、音乐俱乐部、驻场秀、24小时阅读空间等时尚文化业态，激活万宁夜间文化艺术消费。</w:t>
      </w:r>
    </w:p>
    <w:p w14:paraId="66DD0451">
      <w:pPr>
        <w:rPr>
          <w:rFonts w:hint="eastAsia"/>
          <w:highlight w:val="none"/>
          <w:lang w:val="en-US" w:eastAsia="zh-CN"/>
        </w:rPr>
      </w:pPr>
      <w:r>
        <w:rPr>
          <w:rFonts w:hint="eastAsia"/>
          <w:b/>
          <w:bCs/>
          <w:highlight w:val="none"/>
          <w:lang w:val="en-US" w:eastAsia="zh-CN"/>
        </w:rPr>
        <w:t>打造文化IP演艺产品。</w:t>
      </w:r>
      <w:r>
        <w:rPr>
          <w:rFonts w:hint="eastAsia"/>
          <w:highlight w:val="none"/>
          <w:lang w:val="en-US" w:eastAsia="zh-CN"/>
        </w:rPr>
        <w:t>充分结合万宁城市文化内涵孵化剧目IP，支持各乡镇打造文化演艺中心，统筹水陆空间布局演艺项目。在兴隆热带植物园、兴隆咖啡文化产业园、兴隆区、东山岭文化旅游区、神州半岛、日月湾等景区景点，设置场景式“微剧场”。</w:t>
      </w:r>
    </w:p>
    <w:p w14:paraId="1A8B7A5E">
      <w:pPr>
        <w:rPr>
          <w:rFonts w:hint="eastAsia"/>
          <w:highlight w:val="none"/>
          <w:lang w:val="en-US" w:eastAsia="zh-CN"/>
        </w:rPr>
      </w:pPr>
      <w:r>
        <w:rPr>
          <w:rFonts w:hint="eastAsia"/>
          <w:b/>
          <w:bCs/>
          <w:highlight w:val="none"/>
          <w:lang w:val="en-US" w:eastAsia="zh-CN"/>
        </w:rPr>
        <w:t>创新发展数字化、科技化的娱乐业态。</w:t>
      </w:r>
      <w:r>
        <w:rPr>
          <w:rFonts w:hint="eastAsia"/>
          <w:highlight w:val="none"/>
          <w:lang w:val="en-US" w:eastAsia="zh-CN"/>
        </w:rPr>
        <w:t>以万宁智慧航空产业园为试点，创新发展一批数字化、科技化的娱乐业态。推动万宁特色文化IP与数字科技相融合，打通线上线下场景；鼓励对全域文博场馆、展示馆进行数字化升级。</w:t>
      </w:r>
    </w:p>
    <w:tbl>
      <w:tblPr>
        <w:tblStyle w:val="13"/>
        <w:tblW w:w="834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42"/>
      </w:tblGrid>
      <w:tr w14:paraId="746C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8342" w:type="dxa"/>
            <w:tcMar>
              <w:top w:w="0" w:type="dxa"/>
              <w:left w:w="108" w:type="dxa"/>
              <w:bottom w:w="0" w:type="dxa"/>
              <w:right w:w="108" w:type="dxa"/>
            </w:tcMar>
            <w:vAlign w:val="center"/>
          </w:tcPr>
          <w:p w14:paraId="46453410">
            <w:pPr>
              <w:pStyle w:val="22"/>
              <w:shd w:val="clear"/>
              <w:snapToGrid w:val="0"/>
              <w:ind w:left="425" w:hanging="425"/>
              <w:rPr>
                <w:rFonts w:hint="default"/>
                <w:color w:val="auto"/>
                <w:highlight w:val="none"/>
              </w:rPr>
            </w:pPr>
            <w:r>
              <w:rPr>
                <w:rFonts w:hint="eastAsia"/>
                <w:color w:val="auto"/>
                <w:highlight w:val="none"/>
                <w:lang w:val="en-US" w:eastAsia="zh-CN"/>
              </w:rPr>
              <w:t xml:space="preserve"> </w:t>
            </w:r>
            <w:r>
              <w:rPr>
                <w:rFonts w:hint="eastAsia"/>
                <w:color w:val="auto"/>
                <w:highlight w:val="none"/>
              </w:rPr>
              <w:t>服务要素配套提升工程</w:t>
            </w:r>
          </w:p>
        </w:tc>
      </w:tr>
      <w:tr w14:paraId="17AD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342" w:type="dxa"/>
            <w:tcMar>
              <w:top w:w="0" w:type="dxa"/>
              <w:left w:w="108" w:type="dxa"/>
              <w:bottom w:w="0" w:type="dxa"/>
              <w:right w:w="108" w:type="dxa"/>
            </w:tcMar>
          </w:tcPr>
          <w:p w14:paraId="08DA3225">
            <w:pPr>
              <w:widowControl w:val="0"/>
              <w:numPr>
                <w:ilvl w:val="0"/>
                <w:numId w:val="0"/>
              </w:numPr>
              <w:shd w:val="clear"/>
              <w:snapToGrid w:val="0"/>
              <w:spacing w:line="360" w:lineRule="auto"/>
              <w:ind w:firstLine="482" w:firstLineChars="200"/>
              <w:jc w:val="both"/>
              <w:rPr>
                <w:rFonts w:hint="eastAsia" w:cs="仿宋_GB2312"/>
                <w:color w:val="auto"/>
                <w:sz w:val="24"/>
                <w:highlight w:val="none"/>
              </w:rPr>
            </w:pPr>
            <w:r>
              <w:rPr>
                <w:rFonts w:hint="eastAsia" w:cs="仿宋_GB2312"/>
                <w:b/>
                <w:bCs/>
                <w:color w:val="auto"/>
                <w:sz w:val="24"/>
                <w:highlight w:val="none"/>
              </w:rPr>
              <w:t>1.旅游餐饮：</w:t>
            </w:r>
            <w:r>
              <w:rPr>
                <w:rFonts w:hint="eastAsia" w:cs="仿宋_GB2312"/>
                <w:color w:val="auto"/>
                <w:sz w:val="24"/>
                <w:highlight w:val="none"/>
              </w:rPr>
              <w:t>石梅湾九里旅游休闲街区、神州半岛商业街</w:t>
            </w:r>
            <w:r>
              <w:rPr>
                <w:rFonts w:hint="eastAsia" w:cs="仿宋_GB2312"/>
                <w:color w:val="auto"/>
                <w:sz w:val="24"/>
                <w:highlight w:val="none"/>
                <w:lang w:eastAsia="zh-CN"/>
              </w:rPr>
              <w:t>、</w:t>
            </w:r>
            <w:r>
              <w:rPr>
                <w:rFonts w:hint="eastAsia" w:cs="仿宋_GB2312"/>
                <w:color w:val="auto"/>
                <w:sz w:val="24"/>
                <w:highlight w:val="none"/>
              </w:rPr>
              <w:t>兴隆1951侨乡风情夜市</w:t>
            </w:r>
            <w:r>
              <w:rPr>
                <w:rFonts w:hint="eastAsia" w:cs="仿宋_GB2312"/>
                <w:color w:val="auto"/>
                <w:sz w:val="24"/>
                <w:highlight w:val="none"/>
                <w:lang w:eastAsia="zh-CN"/>
              </w:rPr>
              <w:t>、</w:t>
            </w:r>
            <w:r>
              <w:rPr>
                <w:rFonts w:hint="eastAsia" w:cs="仿宋_GB2312"/>
                <w:color w:val="auto"/>
                <w:sz w:val="24"/>
                <w:highlight w:val="none"/>
              </w:rPr>
              <w:t>东城夜市、日月湾·浪花集市</w:t>
            </w:r>
            <w:r>
              <w:rPr>
                <w:rFonts w:hint="eastAsia" w:cs="仿宋_GB2312"/>
                <w:color w:val="auto"/>
                <w:sz w:val="24"/>
                <w:highlight w:val="none"/>
                <w:lang w:eastAsia="zh-CN"/>
              </w:rPr>
              <w:t>、</w:t>
            </w:r>
            <w:r>
              <w:rPr>
                <w:rFonts w:hint="eastAsia" w:cs="仿宋_GB2312"/>
                <w:color w:val="auto"/>
                <w:sz w:val="24"/>
                <w:highlight w:val="none"/>
              </w:rPr>
              <w:t>中旅逐浪度假区等。</w:t>
            </w:r>
          </w:p>
          <w:p w14:paraId="2F158AE9">
            <w:pPr>
              <w:widowControl w:val="0"/>
              <w:numPr>
                <w:ilvl w:val="0"/>
                <w:numId w:val="0"/>
              </w:numPr>
              <w:shd w:val="clear"/>
              <w:snapToGrid w:val="0"/>
              <w:spacing w:line="360" w:lineRule="auto"/>
              <w:ind w:firstLine="482" w:firstLineChars="200"/>
              <w:jc w:val="both"/>
              <w:rPr>
                <w:rFonts w:hint="eastAsia" w:cs="仿宋_GB2312"/>
                <w:color w:val="auto"/>
                <w:sz w:val="24"/>
                <w:highlight w:val="none"/>
              </w:rPr>
            </w:pPr>
            <w:r>
              <w:rPr>
                <w:rFonts w:hint="eastAsia" w:cs="仿宋_GB2312"/>
                <w:b/>
                <w:bCs/>
                <w:color w:val="auto"/>
                <w:sz w:val="24"/>
                <w:highlight w:val="none"/>
              </w:rPr>
              <w:t>2.旅游住宿：</w:t>
            </w:r>
            <w:r>
              <w:rPr>
                <w:rFonts w:hint="eastAsia" w:cs="仿宋_GB2312"/>
                <w:color w:val="auto"/>
                <w:sz w:val="24"/>
                <w:highlight w:val="none"/>
              </w:rPr>
              <w:t>神州半岛银河湾高端酒店、海南国际养生城一期君澜度假酒店</w:t>
            </w:r>
            <w:r>
              <w:rPr>
                <w:rFonts w:hint="eastAsia" w:cs="仿宋_GB2312"/>
                <w:color w:val="auto"/>
                <w:sz w:val="24"/>
                <w:highlight w:val="none"/>
                <w:lang w:val="en-US" w:eastAsia="zh-CN"/>
              </w:rPr>
              <w:t>以及</w:t>
            </w:r>
            <w:r>
              <w:rPr>
                <w:rFonts w:hint="eastAsia" w:cs="仿宋_GB2312"/>
                <w:color w:val="auto"/>
                <w:sz w:val="24"/>
                <w:highlight w:val="none"/>
              </w:rPr>
              <w:t>礼纪镇田新村、排溪村、小海片区</w:t>
            </w:r>
            <w:r>
              <w:rPr>
                <w:rFonts w:hint="eastAsia" w:cs="仿宋_GB2312"/>
                <w:color w:val="auto"/>
                <w:sz w:val="24"/>
                <w:highlight w:val="none"/>
                <w:lang w:val="en-US" w:eastAsia="zh-CN"/>
              </w:rPr>
              <w:t>的精品民宿集群</w:t>
            </w:r>
            <w:r>
              <w:rPr>
                <w:rFonts w:hint="eastAsia" w:cs="仿宋_GB2312"/>
                <w:color w:val="auto"/>
                <w:sz w:val="24"/>
                <w:highlight w:val="none"/>
              </w:rPr>
              <w:t>。</w:t>
            </w:r>
          </w:p>
          <w:p w14:paraId="22ECC1EA">
            <w:pPr>
              <w:widowControl w:val="0"/>
              <w:numPr>
                <w:ilvl w:val="0"/>
                <w:numId w:val="0"/>
              </w:numPr>
              <w:shd w:val="clear"/>
              <w:snapToGrid w:val="0"/>
              <w:spacing w:line="360" w:lineRule="auto"/>
              <w:ind w:firstLine="482" w:firstLineChars="200"/>
              <w:jc w:val="both"/>
              <w:rPr>
                <w:rFonts w:hint="eastAsia" w:cs="仿宋_GB2312"/>
                <w:color w:val="auto"/>
                <w:sz w:val="24"/>
                <w:highlight w:val="none"/>
              </w:rPr>
            </w:pPr>
            <w:r>
              <w:rPr>
                <w:rFonts w:hint="eastAsia" w:cs="仿宋_GB2312"/>
                <w:b/>
                <w:bCs/>
                <w:color w:val="auto"/>
                <w:sz w:val="24"/>
                <w:highlight w:val="none"/>
              </w:rPr>
              <w:t>3.旅游交通：</w:t>
            </w:r>
            <w:r>
              <w:rPr>
                <w:rFonts w:hint="eastAsia" w:cs="仿宋_GB2312"/>
                <w:color w:val="auto"/>
                <w:sz w:val="24"/>
                <w:highlight w:val="none"/>
              </w:rPr>
              <w:t>推进山钦蓝梦、大洲燕呢、花角锦绣等环岛旅游公路驿站</w:t>
            </w:r>
            <w:r>
              <w:rPr>
                <w:rFonts w:hint="eastAsia" w:cs="仿宋_GB2312"/>
                <w:color w:val="auto"/>
                <w:sz w:val="24"/>
                <w:highlight w:val="none"/>
                <w:lang w:val="en-US" w:eastAsia="zh-CN"/>
              </w:rPr>
              <w:t>以及</w:t>
            </w:r>
            <w:r>
              <w:rPr>
                <w:rFonts w:hint="eastAsia" w:cs="仿宋_GB2312"/>
                <w:color w:val="auto"/>
                <w:sz w:val="24"/>
                <w:highlight w:val="none"/>
              </w:rPr>
              <w:t>环岛旅游公路“车路云一体化”万宁示范段项目建设。</w:t>
            </w:r>
          </w:p>
          <w:p w14:paraId="14D9C8F2">
            <w:pPr>
              <w:widowControl w:val="0"/>
              <w:numPr>
                <w:ilvl w:val="0"/>
                <w:numId w:val="0"/>
              </w:numPr>
              <w:shd w:val="clear"/>
              <w:snapToGrid w:val="0"/>
              <w:spacing w:line="360" w:lineRule="auto"/>
              <w:ind w:firstLine="482" w:firstLineChars="200"/>
              <w:jc w:val="both"/>
              <w:rPr>
                <w:rFonts w:hint="eastAsia" w:cs="仿宋_GB2312"/>
                <w:b/>
                <w:bCs/>
                <w:color w:val="auto"/>
                <w:sz w:val="24"/>
                <w:highlight w:val="none"/>
              </w:rPr>
            </w:pPr>
            <w:r>
              <w:rPr>
                <w:rFonts w:hint="eastAsia" w:cs="仿宋_GB2312"/>
                <w:b/>
                <w:bCs/>
                <w:color w:val="auto"/>
                <w:sz w:val="24"/>
                <w:highlight w:val="none"/>
              </w:rPr>
              <w:t>4.旅游游览：</w:t>
            </w:r>
          </w:p>
          <w:p w14:paraId="0BC2EADA">
            <w:pPr>
              <w:widowControl w:val="0"/>
              <w:numPr>
                <w:ilvl w:val="0"/>
                <w:numId w:val="0"/>
              </w:numPr>
              <w:shd w:val="clear"/>
              <w:snapToGrid w:val="0"/>
              <w:spacing w:line="360" w:lineRule="auto"/>
              <w:ind w:firstLine="480" w:firstLineChars="200"/>
              <w:jc w:val="both"/>
              <w:rPr>
                <w:rFonts w:hint="eastAsia" w:cs="仿宋_GB2312"/>
                <w:color w:val="auto"/>
                <w:sz w:val="24"/>
                <w:highlight w:val="none"/>
              </w:rPr>
            </w:pPr>
            <w:r>
              <w:rPr>
                <w:rFonts w:hint="eastAsia" w:cs="仿宋_GB2312"/>
                <w:color w:val="auto"/>
                <w:sz w:val="24"/>
                <w:highlight w:val="none"/>
              </w:rPr>
              <w:t>①蔚蓝万宁·滨海自驾游：山钦湾→港北小海→大花角→神州半岛→石梅湾→日月湾等。</w:t>
            </w:r>
          </w:p>
          <w:p w14:paraId="236599B4">
            <w:pPr>
              <w:widowControl w:val="0"/>
              <w:numPr>
                <w:ilvl w:val="0"/>
                <w:numId w:val="0"/>
              </w:numPr>
              <w:shd w:val="clear"/>
              <w:snapToGrid w:val="0"/>
              <w:spacing w:line="360" w:lineRule="auto"/>
              <w:ind w:firstLine="480" w:firstLineChars="200"/>
              <w:jc w:val="both"/>
              <w:rPr>
                <w:rFonts w:hint="eastAsia" w:cs="仿宋_GB2312"/>
                <w:color w:val="auto"/>
                <w:sz w:val="24"/>
                <w:highlight w:val="none"/>
              </w:rPr>
            </w:pPr>
            <w:r>
              <w:rPr>
                <w:rFonts w:hint="eastAsia" w:cs="仿宋_GB2312"/>
                <w:color w:val="auto"/>
                <w:sz w:val="24"/>
                <w:highlight w:val="none"/>
              </w:rPr>
              <w:t>②活力万宁·激情运动游：山钦湾</w:t>
            </w:r>
            <w:r>
              <w:rPr>
                <w:rFonts w:hint="eastAsia" w:cs="仿宋_GB2312"/>
                <w:color w:val="auto"/>
                <w:sz w:val="24"/>
                <w:highlight w:val="none"/>
                <w:lang w:eastAsia="zh-CN"/>
              </w:rPr>
              <w:t>（</w:t>
            </w:r>
            <w:r>
              <w:rPr>
                <w:rFonts w:hint="eastAsia" w:cs="仿宋_GB2312"/>
                <w:color w:val="auto"/>
                <w:sz w:val="24"/>
                <w:highlight w:val="none"/>
              </w:rPr>
              <w:t>海景高尔夫</w:t>
            </w:r>
            <w:r>
              <w:rPr>
                <w:rFonts w:hint="eastAsia" w:cs="仿宋_GB2312"/>
                <w:color w:val="auto"/>
                <w:sz w:val="24"/>
                <w:highlight w:val="none"/>
                <w:lang w:eastAsia="zh-CN"/>
              </w:rPr>
              <w:t>）</w:t>
            </w:r>
            <w:r>
              <w:rPr>
                <w:rFonts w:hint="eastAsia" w:cs="仿宋_GB2312"/>
                <w:color w:val="auto"/>
                <w:sz w:val="24"/>
                <w:highlight w:val="none"/>
              </w:rPr>
              <w:t>→王府井国际免税港</w:t>
            </w:r>
            <w:r>
              <w:rPr>
                <w:rFonts w:hint="eastAsia" w:cs="仿宋_GB2312"/>
                <w:color w:val="auto"/>
                <w:sz w:val="24"/>
                <w:highlight w:val="none"/>
                <w:lang w:eastAsia="zh-CN"/>
              </w:rPr>
              <w:t>（</w:t>
            </w:r>
            <w:r>
              <w:rPr>
                <w:rFonts w:hint="eastAsia" w:cs="仿宋_GB2312"/>
                <w:color w:val="auto"/>
                <w:sz w:val="24"/>
                <w:highlight w:val="none"/>
              </w:rPr>
              <w:t>免税体育装备</w:t>
            </w:r>
            <w:r>
              <w:rPr>
                <w:rFonts w:hint="eastAsia" w:cs="仿宋_GB2312"/>
                <w:color w:val="auto"/>
                <w:sz w:val="24"/>
                <w:highlight w:val="none"/>
                <w:lang w:eastAsia="zh-CN"/>
              </w:rPr>
              <w:t>、</w:t>
            </w:r>
            <w:r>
              <w:rPr>
                <w:rFonts w:hint="eastAsia" w:cs="仿宋_GB2312"/>
                <w:color w:val="auto"/>
                <w:sz w:val="24"/>
                <w:highlight w:val="none"/>
              </w:rPr>
              <w:t>滑板公园</w:t>
            </w:r>
            <w:r>
              <w:rPr>
                <w:rFonts w:hint="eastAsia" w:cs="仿宋_GB2312"/>
                <w:color w:val="auto"/>
                <w:sz w:val="24"/>
                <w:highlight w:val="none"/>
                <w:lang w:eastAsia="zh-CN"/>
              </w:rPr>
              <w:t>）</w:t>
            </w:r>
            <w:r>
              <w:rPr>
                <w:rFonts w:hint="eastAsia" w:cs="仿宋_GB2312"/>
                <w:color w:val="auto"/>
                <w:sz w:val="24"/>
                <w:highlight w:val="none"/>
              </w:rPr>
              <w:t>→神州半岛</w:t>
            </w:r>
            <w:r>
              <w:rPr>
                <w:rFonts w:hint="eastAsia" w:cs="仿宋_GB2312"/>
                <w:color w:val="auto"/>
                <w:sz w:val="24"/>
                <w:highlight w:val="none"/>
                <w:lang w:eastAsia="zh-CN"/>
              </w:rPr>
              <w:t>（</w:t>
            </w:r>
            <w:r>
              <w:rPr>
                <w:rFonts w:hint="eastAsia" w:cs="仿宋_GB2312"/>
                <w:color w:val="auto"/>
                <w:sz w:val="24"/>
                <w:highlight w:val="none"/>
              </w:rPr>
              <w:t>海滨高尔夫</w:t>
            </w:r>
            <w:r>
              <w:rPr>
                <w:rFonts w:hint="eastAsia" w:cs="仿宋_GB2312"/>
                <w:color w:val="auto"/>
                <w:sz w:val="24"/>
                <w:highlight w:val="none"/>
                <w:lang w:eastAsia="zh-CN"/>
              </w:rPr>
              <w:t>、</w:t>
            </w:r>
            <w:r>
              <w:rPr>
                <w:rFonts w:hint="eastAsia" w:cs="仿宋_GB2312"/>
                <w:color w:val="auto"/>
                <w:sz w:val="24"/>
                <w:highlight w:val="none"/>
              </w:rPr>
              <w:t>摩托艇</w:t>
            </w:r>
            <w:r>
              <w:rPr>
                <w:rFonts w:hint="eastAsia" w:cs="仿宋_GB2312"/>
                <w:color w:val="auto"/>
                <w:sz w:val="24"/>
                <w:highlight w:val="none"/>
                <w:lang w:eastAsia="zh-CN"/>
              </w:rPr>
              <w:t>、</w:t>
            </w:r>
            <w:r>
              <w:rPr>
                <w:rFonts w:hint="eastAsia" w:cs="仿宋_GB2312"/>
                <w:color w:val="auto"/>
                <w:sz w:val="24"/>
                <w:highlight w:val="none"/>
              </w:rPr>
              <w:t>海钓</w:t>
            </w:r>
            <w:r>
              <w:rPr>
                <w:rFonts w:hint="eastAsia" w:cs="仿宋_GB2312"/>
                <w:color w:val="auto"/>
                <w:sz w:val="24"/>
                <w:highlight w:val="none"/>
                <w:lang w:eastAsia="zh-CN"/>
              </w:rPr>
              <w:t>）</w:t>
            </w:r>
            <w:r>
              <w:rPr>
                <w:rFonts w:hint="eastAsia" w:cs="仿宋_GB2312"/>
                <w:color w:val="auto"/>
                <w:sz w:val="24"/>
                <w:highlight w:val="none"/>
              </w:rPr>
              <w:t>→兴隆旅游区</w:t>
            </w:r>
            <w:r>
              <w:rPr>
                <w:rFonts w:hint="eastAsia" w:cs="仿宋_GB2312"/>
                <w:color w:val="auto"/>
                <w:sz w:val="24"/>
                <w:highlight w:val="none"/>
                <w:lang w:eastAsia="zh-CN"/>
              </w:rPr>
              <w:t>（</w:t>
            </w:r>
            <w:r>
              <w:rPr>
                <w:rFonts w:hint="eastAsia" w:cs="仿宋_GB2312"/>
                <w:color w:val="auto"/>
                <w:sz w:val="24"/>
                <w:highlight w:val="none"/>
              </w:rPr>
              <w:t>雨林桨板</w:t>
            </w:r>
            <w:r>
              <w:rPr>
                <w:rFonts w:hint="eastAsia" w:cs="仿宋_GB2312"/>
                <w:color w:val="auto"/>
                <w:sz w:val="24"/>
                <w:highlight w:val="none"/>
                <w:lang w:eastAsia="zh-CN"/>
              </w:rPr>
              <w:t>、</w:t>
            </w:r>
            <w:r>
              <w:rPr>
                <w:rFonts w:hint="eastAsia" w:cs="仿宋_GB2312"/>
                <w:color w:val="auto"/>
                <w:sz w:val="24"/>
                <w:highlight w:val="none"/>
              </w:rPr>
              <w:t>绿道骑行</w:t>
            </w:r>
            <w:r>
              <w:rPr>
                <w:rFonts w:hint="eastAsia" w:cs="仿宋_GB2312"/>
                <w:color w:val="auto"/>
                <w:sz w:val="24"/>
                <w:highlight w:val="none"/>
                <w:lang w:eastAsia="zh-CN"/>
              </w:rPr>
              <w:t>、</w:t>
            </w:r>
            <w:r>
              <w:rPr>
                <w:rFonts w:hint="eastAsia" w:cs="仿宋_GB2312"/>
                <w:color w:val="auto"/>
                <w:sz w:val="24"/>
                <w:highlight w:val="none"/>
              </w:rPr>
              <w:t>溯溪涉水</w:t>
            </w:r>
            <w:r>
              <w:rPr>
                <w:rFonts w:hint="eastAsia" w:cs="仿宋_GB2312"/>
                <w:color w:val="auto"/>
                <w:sz w:val="24"/>
                <w:highlight w:val="none"/>
                <w:lang w:eastAsia="zh-CN"/>
              </w:rPr>
              <w:t>）</w:t>
            </w:r>
            <w:r>
              <w:rPr>
                <w:rFonts w:hint="eastAsia" w:cs="仿宋_GB2312"/>
                <w:color w:val="auto"/>
                <w:sz w:val="24"/>
                <w:highlight w:val="none"/>
              </w:rPr>
              <w:t>→石梅湾</w:t>
            </w:r>
            <w:r>
              <w:rPr>
                <w:rFonts w:hint="eastAsia" w:cs="仿宋_GB2312"/>
                <w:color w:val="auto"/>
                <w:sz w:val="24"/>
                <w:highlight w:val="none"/>
                <w:lang w:eastAsia="zh-CN"/>
              </w:rPr>
              <w:t>（</w:t>
            </w:r>
            <w:r>
              <w:rPr>
                <w:rFonts w:hint="eastAsia" w:cs="仿宋_GB2312"/>
                <w:color w:val="auto"/>
                <w:sz w:val="24"/>
                <w:highlight w:val="none"/>
              </w:rPr>
              <w:t>潜水</w:t>
            </w:r>
            <w:r>
              <w:rPr>
                <w:rFonts w:hint="eastAsia" w:cs="仿宋_GB2312"/>
                <w:color w:val="auto"/>
                <w:sz w:val="24"/>
                <w:highlight w:val="none"/>
                <w:lang w:eastAsia="zh-CN"/>
              </w:rPr>
              <w:t>、</w:t>
            </w:r>
            <w:r>
              <w:rPr>
                <w:rFonts w:hint="eastAsia" w:cs="仿宋_GB2312"/>
                <w:color w:val="auto"/>
                <w:sz w:val="24"/>
                <w:highlight w:val="none"/>
              </w:rPr>
              <w:t>游艇</w:t>
            </w:r>
            <w:r>
              <w:rPr>
                <w:rFonts w:hint="eastAsia" w:cs="仿宋_GB2312"/>
                <w:color w:val="auto"/>
                <w:sz w:val="24"/>
                <w:highlight w:val="none"/>
                <w:lang w:eastAsia="zh-CN"/>
              </w:rPr>
              <w:t>、</w:t>
            </w:r>
            <w:r>
              <w:rPr>
                <w:rFonts w:hint="eastAsia" w:cs="仿宋_GB2312"/>
                <w:color w:val="auto"/>
                <w:sz w:val="24"/>
                <w:highlight w:val="none"/>
              </w:rPr>
              <w:t>帆船</w:t>
            </w:r>
            <w:r>
              <w:rPr>
                <w:rFonts w:hint="eastAsia" w:cs="仿宋_GB2312"/>
                <w:color w:val="auto"/>
                <w:sz w:val="24"/>
                <w:highlight w:val="none"/>
                <w:lang w:eastAsia="zh-CN"/>
              </w:rPr>
              <w:t>）</w:t>
            </w:r>
            <w:r>
              <w:rPr>
                <w:rFonts w:hint="eastAsia" w:cs="仿宋_GB2312"/>
                <w:color w:val="auto"/>
                <w:sz w:val="24"/>
                <w:highlight w:val="none"/>
              </w:rPr>
              <w:t>→日月湾</w:t>
            </w:r>
            <w:r>
              <w:rPr>
                <w:rFonts w:hint="eastAsia" w:cs="仿宋_GB2312"/>
                <w:color w:val="auto"/>
                <w:sz w:val="24"/>
                <w:highlight w:val="none"/>
                <w:lang w:eastAsia="zh-CN"/>
              </w:rPr>
              <w:t>（</w:t>
            </w:r>
            <w:r>
              <w:rPr>
                <w:rFonts w:hint="eastAsia" w:cs="仿宋_GB2312"/>
                <w:color w:val="auto"/>
                <w:sz w:val="24"/>
                <w:highlight w:val="none"/>
              </w:rPr>
              <w:t>VR冲浪、陆上冲浪、海上冲浪</w:t>
            </w:r>
            <w:r>
              <w:rPr>
                <w:rFonts w:hint="eastAsia" w:cs="仿宋_GB2312"/>
                <w:color w:val="auto"/>
                <w:sz w:val="24"/>
                <w:highlight w:val="none"/>
                <w:lang w:eastAsia="zh-CN"/>
              </w:rPr>
              <w:t>）</w:t>
            </w:r>
            <w:r>
              <w:rPr>
                <w:rFonts w:hint="eastAsia" w:cs="仿宋_GB2312"/>
                <w:color w:val="auto"/>
                <w:sz w:val="24"/>
                <w:highlight w:val="none"/>
              </w:rPr>
              <w:t>等。</w:t>
            </w:r>
          </w:p>
          <w:p w14:paraId="51A2CB18">
            <w:pPr>
              <w:widowControl w:val="0"/>
              <w:numPr>
                <w:ilvl w:val="0"/>
                <w:numId w:val="0"/>
              </w:numPr>
              <w:shd w:val="clear"/>
              <w:snapToGrid w:val="0"/>
              <w:spacing w:line="360" w:lineRule="auto"/>
              <w:ind w:firstLine="480" w:firstLineChars="200"/>
              <w:jc w:val="both"/>
              <w:rPr>
                <w:rFonts w:hint="eastAsia" w:cs="仿宋_GB2312"/>
                <w:color w:val="auto"/>
                <w:sz w:val="24"/>
                <w:highlight w:val="none"/>
              </w:rPr>
            </w:pPr>
            <w:r>
              <w:rPr>
                <w:rFonts w:hint="eastAsia" w:cs="仿宋_GB2312"/>
                <w:color w:val="auto"/>
                <w:sz w:val="24"/>
                <w:highlight w:val="none"/>
                <w:lang w:val="en-US" w:eastAsia="zh-CN"/>
              </w:rPr>
              <w:t>③</w:t>
            </w:r>
            <w:r>
              <w:rPr>
                <w:rFonts w:hint="eastAsia" w:cs="仿宋_GB2312"/>
                <w:color w:val="auto"/>
                <w:sz w:val="24"/>
                <w:highlight w:val="none"/>
              </w:rPr>
              <w:t>风情万宁·研学探秘游：六连岭革命纪念地→东山岭文化旅游区→万宁老街→麓湾牧场→小洋侨旅游区→兴隆巴厘村→兴隆咖啡谷等。</w:t>
            </w:r>
          </w:p>
          <w:p w14:paraId="3B5F4545">
            <w:pPr>
              <w:widowControl w:val="0"/>
              <w:numPr>
                <w:ilvl w:val="0"/>
                <w:numId w:val="0"/>
              </w:numPr>
              <w:shd w:val="clear"/>
              <w:snapToGrid w:val="0"/>
              <w:spacing w:line="360" w:lineRule="auto"/>
              <w:ind w:firstLine="482" w:firstLineChars="200"/>
              <w:jc w:val="both"/>
              <w:rPr>
                <w:rFonts w:hint="eastAsia" w:cs="仿宋_GB2312"/>
                <w:color w:val="auto"/>
                <w:sz w:val="24"/>
                <w:highlight w:val="none"/>
              </w:rPr>
            </w:pPr>
            <w:r>
              <w:rPr>
                <w:rFonts w:hint="eastAsia" w:cs="仿宋_GB2312"/>
                <w:b/>
                <w:bCs/>
                <w:color w:val="auto"/>
                <w:sz w:val="24"/>
                <w:highlight w:val="none"/>
              </w:rPr>
              <w:t>5.旅游购物：</w:t>
            </w:r>
            <w:r>
              <w:rPr>
                <w:rFonts w:hint="eastAsia" w:cs="仿宋_GB2312"/>
                <w:color w:val="auto"/>
                <w:sz w:val="24"/>
                <w:highlight w:val="none"/>
              </w:rPr>
              <w:t>华亚欢乐城</w:t>
            </w:r>
            <w:r>
              <w:rPr>
                <w:rFonts w:hint="eastAsia" w:cs="仿宋_GB2312"/>
                <w:color w:val="auto"/>
                <w:sz w:val="24"/>
                <w:highlight w:val="none"/>
                <w:lang w:eastAsia="zh-CN"/>
              </w:rPr>
              <w:t>、</w:t>
            </w:r>
            <w:r>
              <w:rPr>
                <w:rFonts w:hint="eastAsia" w:cs="仿宋_GB2312"/>
                <w:color w:val="auto"/>
                <w:sz w:val="24"/>
                <w:highlight w:val="none"/>
              </w:rPr>
              <w:t>王府井国际免税港</w:t>
            </w:r>
            <w:r>
              <w:rPr>
                <w:rFonts w:hint="eastAsia" w:cs="仿宋_GB2312"/>
                <w:color w:val="auto"/>
                <w:sz w:val="24"/>
                <w:highlight w:val="none"/>
                <w:lang w:eastAsia="zh-CN"/>
              </w:rPr>
              <w:t>、</w:t>
            </w:r>
            <w:r>
              <w:rPr>
                <w:rFonts w:hint="eastAsia" w:cs="仿宋_GB2312"/>
                <w:color w:val="auto"/>
                <w:sz w:val="24"/>
                <w:highlight w:val="none"/>
              </w:rPr>
              <w:t>万宁市咖啡产业升级示范园建设项目、正大万宁兴隆咖啡城项目</w:t>
            </w:r>
            <w:r>
              <w:rPr>
                <w:rFonts w:hint="eastAsia" w:cs="仿宋_GB2312"/>
                <w:color w:val="auto"/>
                <w:sz w:val="24"/>
                <w:highlight w:val="none"/>
                <w:lang w:eastAsia="zh-CN"/>
              </w:rPr>
              <w:t>、</w:t>
            </w:r>
            <w:r>
              <w:rPr>
                <w:rFonts w:hint="eastAsia" w:cs="仿宋_GB2312"/>
                <w:color w:val="auto"/>
                <w:sz w:val="24"/>
                <w:highlight w:val="none"/>
              </w:rPr>
              <w:t>兴隆南药园等。</w:t>
            </w:r>
          </w:p>
          <w:p w14:paraId="3EC1D401">
            <w:pPr>
              <w:widowControl w:val="0"/>
              <w:numPr>
                <w:ilvl w:val="0"/>
                <w:numId w:val="0"/>
              </w:numPr>
              <w:shd w:val="clear"/>
              <w:snapToGrid w:val="0"/>
              <w:spacing w:line="360" w:lineRule="auto"/>
              <w:ind w:firstLine="482" w:firstLineChars="200"/>
              <w:jc w:val="both"/>
              <w:rPr>
                <w:rFonts w:hint="default" w:cs="仿宋_GB2312"/>
                <w:b w:val="0"/>
                <w:bCs w:val="0"/>
                <w:color w:val="auto"/>
                <w:kern w:val="2"/>
                <w:sz w:val="24"/>
                <w:szCs w:val="24"/>
                <w:highlight w:val="none"/>
                <w:lang w:val="en-US" w:eastAsia="zh-CN" w:bidi="ar-SA"/>
              </w:rPr>
            </w:pPr>
            <w:r>
              <w:rPr>
                <w:rFonts w:hint="eastAsia" w:cs="仿宋_GB2312"/>
                <w:b/>
                <w:bCs/>
                <w:color w:val="auto"/>
                <w:sz w:val="24"/>
                <w:highlight w:val="none"/>
              </w:rPr>
              <w:t>6.旅游娱乐：</w:t>
            </w:r>
            <w:r>
              <w:rPr>
                <w:rFonts w:hint="eastAsia" w:cs="仿宋_GB2312"/>
                <w:color w:val="auto"/>
                <w:sz w:val="24"/>
                <w:highlight w:val="none"/>
              </w:rPr>
              <w:t>网红打卡、文艺演出、非遗展演、微剧场、节庆活动、民俗歌舞、赛事活动等。</w:t>
            </w:r>
          </w:p>
        </w:tc>
      </w:tr>
    </w:tbl>
    <w:p w14:paraId="0DDDE4A5">
      <w:pPr>
        <w:pStyle w:val="3"/>
        <w:shd w:val="clear"/>
        <w:spacing w:before="62" w:after="93"/>
        <w:ind w:firstLine="643"/>
        <w:jc w:val="left"/>
        <w:rPr>
          <w:rFonts w:hint="eastAsia"/>
          <w:b w:val="0"/>
          <w:bCs/>
          <w:color w:val="auto"/>
          <w:highlight w:val="none"/>
          <w:lang w:val="en-US" w:eastAsia="zh-CN"/>
        </w:rPr>
      </w:pPr>
      <w:bookmarkStart w:id="162" w:name="_Toc2813"/>
      <w:bookmarkStart w:id="163" w:name="_Toc25784"/>
      <w:bookmarkStart w:id="164" w:name="_Toc28909"/>
      <w:r>
        <w:rPr>
          <w:rFonts w:hint="eastAsia"/>
          <w:b w:val="0"/>
          <w:bCs/>
          <w:color w:val="auto"/>
          <w:highlight w:val="none"/>
          <w:lang w:val="en-US" w:eastAsia="zh-CN"/>
        </w:rPr>
        <w:t>二、提升旅游服务设施</w:t>
      </w:r>
      <w:bookmarkEnd w:id="162"/>
      <w:bookmarkEnd w:id="163"/>
      <w:bookmarkEnd w:id="164"/>
    </w:p>
    <w:p w14:paraId="5637FB5D">
      <w:pPr>
        <w:pStyle w:val="4"/>
        <w:shd w:val="clear"/>
        <w:ind w:firstLine="479"/>
        <w:rPr>
          <w:rFonts w:hint="eastAsia"/>
          <w:color w:val="auto"/>
          <w:highlight w:val="none"/>
          <w:lang w:val="en-US" w:eastAsia="zh-CN"/>
        </w:rPr>
      </w:pPr>
      <w:r>
        <w:rPr>
          <w:rFonts w:hint="eastAsia"/>
          <w:color w:val="auto"/>
          <w:highlight w:val="none"/>
          <w:lang w:val="en-US" w:eastAsia="zh-CN"/>
        </w:rPr>
        <w:t>（一）完善标识导览服务系统</w:t>
      </w:r>
    </w:p>
    <w:p w14:paraId="5F9E4DB0">
      <w:pPr>
        <w:rPr>
          <w:rFonts w:hint="eastAsia"/>
          <w:lang w:val="en-US" w:eastAsia="zh-CN"/>
        </w:rPr>
      </w:pPr>
      <w:r>
        <w:rPr>
          <w:rFonts w:hint="eastAsia"/>
          <w:lang w:val="en-US" w:eastAsia="zh-CN"/>
        </w:rPr>
        <w:t>推进全市文旅标识规范化建设，提取本地特色文化符号，统筹开展旅游交通、城市历史文化、城市文旅商业、公共服务空间等标识系统设计布局，提升城市品质形象。实现国省道出入口、重要路口、通景公路等关键节点标识全覆盖；加强公共场所外语标识标牌建设，在3A级及以上景区、高星级酒店/民宿、高铁站等重点区域配置多语言对照标识、创新图形符号及智能外语解说系统；重点完善文旅融合集聚区、“三道一径”范围内的A级旅游景区标识、公共服务标识、道路指引、安全警示等导览系统，同步融入文创设计。</w:t>
      </w:r>
    </w:p>
    <w:p w14:paraId="6B3D9BC0">
      <w:pPr>
        <w:pStyle w:val="4"/>
        <w:shd w:val="clear"/>
        <w:ind w:firstLine="479"/>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（二）健全集散咨询服务设施</w:t>
      </w:r>
    </w:p>
    <w:p w14:paraId="1037BBE6">
      <w:pPr>
        <w:rPr>
          <w:rFonts w:hint="eastAsia"/>
          <w:lang w:val="en-US" w:eastAsia="zh-CN"/>
        </w:rPr>
      </w:pPr>
      <w:r>
        <w:rPr>
          <w:rFonts w:hint="eastAsia"/>
          <w:lang w:val="en-US" w:eastAsia="zh-CN"/>
        </w:rPr>
        <w:t>衔接万宁综合交通枢纽、核心旅游景区和旅游度假区，形成布局合理、功能完善的集散中心网络。推动3A级以上旅游景区、乡村旅游集聚区、商业休闲街区和主要交通集散地、高速公路服务区建立完善旅游咨询服务中心，鼓励有条件的旅游村镇运用乡镇（街道）综合文化站、村级公共服务中心等打造游客咨询服务点，加快村级公共服务中心文化和旅游融合发展，扩大旅游咨询服务设施覆盖面。</w:t>
      </w:r>
    </w:p>
    <w:p w14:paraId="072D4FEF">
      <w:pPr>
        <w:pStyle w:val="4"/>
        <w:shd w:val="clear"/>
        <w:ind w:firstLine="479"/>
        <w:rPr>
          <w:rFonts w:hint="eastAsia"/>
          <w:color w:val="auto"/>
          <w:highlight w:val="none"/>
          <w:lang w:val="en-US" w:eastAsia="zh-CN"/>
        </w:rPr>
      </w:pPr>
      <w:r>
        <w:rPr>
          <w:rFonts w:hint="eastAsia"/>
          <w:color w:val="auto"/>
          <w:highlight w:val="none"/>
          <w:lang w:val="en-US" w:eastAsia="zh-CN"/>
        </w:rPr>
        <w:t>（三）强化智慧旅游信息服务</w:t>
      </w:r>
    </w:p>
    <w:p w14:paraId="12DB63A1">
      <w:pPr>
        <w:rPr>
          <w:rFonts w:hint="eastAsia"/>
          <w:lang w:val="en-US" w:eastAsia="zh-CN"/>
        </w:rPr>
      </w:pPr>
      <w:r>
        <w:rPr>
          <w:rFonts w:hint="eastAsia"/>
          <w:lang w:val="en-US" w:eastAsia="zh-CN"/>
        </w:rPr>
        <w:t>积极落实酷游海南平台的推广使用工作，通过平台建设一批智慧景区、智慧酒店、智慧餐厅、智慧商店。依托“一网通办”“一网监管”，推广全国旅游监管服务平台、旅游电子合同、海南省旅游电子行程监管服务平台使用覆盖率，实现精准监管和分类监管。实施旅行社电子合同、团队运行、导游委派、车辆调度、游客信息、组合保险等数字化管理。建立优质旅游服务商名录，利用酷游海南平台，实现旅游服务质量数据测评、归集和共享，依法依规对优质服务商在财税政策、官方合作优先权等方面提供支持。</w:t>
      </w:r>
    </w:p>
    <w:p w14:paraId="07EF3EE3">
      <w:pPr>
        <w:pStyle w:val="4"/>
        <w:shd w:val="clear"/>
        <w:ind w:firstLine="479"/>
        <w:rPr>
          <w:rFonts w:hint="eastAsia"/>
          <w:color w:val="auto"/>
          <w:highlight w:val="none"/>
          <w:lang w:val="en-US" w:eastAsia="zh-CN"/>
        </w:rPr>
      </w:pPr>
      <w:r>
        <w:rPr>
          <w:rFonts w:hint="eastAsia"/>
          <w:color w:val="auto"/>
          <w:highlight w:val="none"/>
          <w:lang w:val="en-US" w:eastAsia="zh-CN"/>
        </w:rPr>
        <w:t>（四）推进旅游标准化推广升级</w:t>
      </w:r>
    </w:p>
    <w:p w14:paraId="2B04944B">
      <w:pPr>
        <w:rPr>
          <w:rFonts w:hint="eastAsia"/>
          <w:lang w:val="en-US" w:eastAsia="zh-CN"/>
        </w:rPr>
      </w:pPr>
      <w:r>
        <w:rPr>
          <w:rFonts w:hint="eastAsia"/>
          <w:lang w:val="en-US" w:eastAsia="zh-CN"/>
        </w:rPr>
        <w:t>围绕“吃住行游购娱”六大要素制定和推广行业标准，制定、完善和实施住宿行业退订退费、网红电动车管理、新业态水上运动备案标准等团体标准。加强旅游业国家标准、行业标准和地方标准的宣传、实施和监督，引导旅游企业建立健全ISO质量管理体系，创新旅游服务质量管理模式；推行旅游企业“首席质量官”“标杆服务员”“好差评”制度，引导涉旅企业对照行业优质服务标准规范，作出自我评估和公开承诺。建立涉旅企业优质服务案例库，对获选单位将在各大OTA平台引流扶持，定期遴选发布典型案例。对贯标执行不到位的涉旅企业由职能部门建立通报机制，对照评定标准，按规定给予降级、摘星、摘牌等处理。</w:t>
      </w:r>
    </w:p>
    <w:p w14:paraId="57B9B8A8">
      <w:pPr>
        <w:pStyle w:val="4"/>
        <w:shd w:val="clear"/>
        <w:ind w:firstLine="479"/>
        <w:rPr>
          <w:rFonts w:hint="eastAsia"/>
          <w:color w:val="auto"/>
          <w:highlight w:val="none"/>
          <w:lang w:val="en-US" w:eastAsia="zh-CN"/>
        </w:rPr>
      </w:pPr>
      <w:r>
        <w:rPr>
          <w:rFonts w:hint="eastAsia"/>
          <w:color w:val="auto"/>
          <w:highlight w:val="none"/>
          <w:lang w:val="en-US" w:eastAsia="zh-CN"/>
        </w:rPr>
        <w:t>（五）提升入境游便利化水平</w:t>
      </w:r>
    </w:p>
    <w:p w14:paraId="4356BAFD">
      <w:pPr>
        <w:rPr>
          <w:rFonts w:hint="eastAsia" w:cs="Times New Roman"/>
          <w:highlight w:val="yellow"/>
          <w:lang w:val="en-US" w:eastAsia="zh-CN"/>
        </w:rPr>
      </w:pPr>
      <w:r>
        <w:rPr>
          <w:rFonts w:hint="eastAsia" w:cs="Times New Roman"/>
          <w:b/>
          <w:bCs/>
          <w:color w:val="auto"/>
          <w:highlight w:val="none"/>
          <w:lang w:val="en-US" w:eastAsia="zh-CN"/>
        </w:rPr>
        <w:t>推广入境旅游产品。</w:t>
      </w:r>
      <w:r>
        <w:rPr>
          <w:rFonts w:hint="eastAsia" w:cs="Times New Roman"/>
          <w:color w:val="auto"/>
          <w:highlight w:val="none"/>
          <w:lang w:val="en-US" w:eastAsia="zh-CN"/>
        </w:rPr>
        <w:t>聚焦东南亚入境客源市场，整合万宁华侨、咖啡、冲浪等资源，创新入境旅游产品体系，承接三亚入境游客溢出效应，通过跨境旅行社渠道重点推广，实现一程多站旅游联动，在海外社交媒体发布多语种旅游产品介绍视频、图文攻略，与国际旅游平台合作，提供多语种预订服务，在重点客源国开展万宁文旅推介会。</w:t>
      </w:r>
    </w:p>
    <w:p w14:paraId="3C47266B">
      <w:pPr>
        <w:rPr>
          <w:rFonts w:hint="eastAsia" w:cs="Times New Roman"/>
          <w:highlight w:val="none"/>
          <w:lang w:val="en-US" w:eastAsia="zh-CN"/>
        </w:rPr>
      </w:pPr>
      <w:r>
        <w:rPr>
          <w:rFonts w:hint="eastAsia" w:cs="Times New Roman"/>
          <w:b/>
          <w:bCs/>
          <w:highlight w:val="none"/>
          <w:lang w:val="en-US" w:eastAsia="zh-CN"/>
        </w:rPr>
        <w:t>完善入境旅游服务。</w:t>
      </w:r>
      <w:r>
        <w:rPr>
          <w:rFonts w:hint="eastAsia" w:cs="Times New Roman"/>
          <w:highlight w:val="none"/>
          <w:lang w:val="en-US" w:eastAsia="zh-CN"/>
        </w:rPr>
        <w:t>完善入境旅游服务设施，优化服务流程，提升服务专业化水平。优化交通接驳服务，在海口美兰机场、三亚凤凰机场、高铁站设立万宁国际游客咨询点，开通高铁站至重点景区直达巴士，配备多语种导览标识，推动重点景区、酒店、餐饮场所支付便利化。在重点景区建设国际游客服务站，整合旅游咨询、签证代办、语言翻译、投诉处理等功能，为入境游客提供一站式服务。</w:t>
      </w:r>
    </w:p>
    <w:p w14:paraId="212D2731">
      <w:pPr>
        <w:rPr>
          <w:rFonts w:hint="eastAsia" w:cs="Times New Roman"/>
          <w:highlight w:val="none"/>
          <w:lang w:val="en-US" w:eastAsia="zh-CN"/>
        </w:rPr>
      </w:pPr>
      <w:r>
        <w:rPr>
          <w:rFonts w:hint="eastAsia" w:cs="Times New Roman"/>
          <w:b/>
          <w:bCs/>
          <w:highlight w:val="none"/>
          <w:lang w:val="en-US" w:eastAsia="zh-CN"/>
        </w:rPr>
        <w:t>提升旅游从业人员国际化素养。</w:t>
      </w:r>
      <w:r>
        <w:rPr>
          <w:rFonts w:hint="eastAsia" w:cs="Times New Roman"/>
          <w:highlight w:val="none"/>
          <w:lang w:val="en-US" w:eastAsia="zh-CN"/>
        </w:rPr>
        <w:t>实施精品导游服务工程，推动导游队伍国际化、正规化、专业化、职业化，开展多语种讲解员培养与专业素养提升计划，举办高水平导游大赛，培育国际化导游人才；开展文旅行业全员培训，提升从业人员外语水平与跨文化交际能力；激发本地居民外语学习热情，营造国际化的旅游服务氛围。</w:t>
      </w:r>
    </w:p>
    <w:p w14:paraId="3288A819">
      <w:pPr>
        <w:rPr>
          <w:rFonts w:hint="eastAsia" w:cs="Times New Roman"/>
          <w:highlight w:val="yellow"/>
          <w:lang w:val="en-US" w:eastAsia="zh-CN"/>
        </w:rPr>
      </w:pPr>
      <w:r>
        <w:rPr>
          <w:rFonts w:hint="eastAsia" w:cs="Times New Roman"/>
          <w:highlight w:val="yellow"/>
          <w:lang w:val="en-US" w:eastAsia="zh-CN"/>
        </w:rPr>
        <w:br w:type="page"/>
      </w:r>
    </w:p>
    <w:p w14:paraId="51DAEEBD">
      <w:pPr>
        <w:pStyle w:val="2"/>
        <w:shd w:val="clear"/>
        <w:spacing w:after="62"/>
        <w:ind w:firstLine="0" w:firstLineChars="0"/>
        <w:jc w:val="center"/>
        <w:rPr>
          <w:rFonts w:hint="default"/>
          <w:b w:val="0"/>
          <w:bCs/>
          <w:color w:val="auto"/>
          <w:sz w:val="36"/>
          <w:szCs w:val="48"/>
          <w:highlight w:val="none"/>
          <w:lang w:val="en-US"/>
        </w:rPr>
      </w:pPr>
      <w:bookmarkStart w:id="165" w:name="_Toc11220"/>
      <w:bookmarkStart w:id="166" w:name="_Toc19605"/>
      <w:bookmarkStart w:id="167" w:name="_Toc23229"/>
      <w:r>
        <w:rPr>
          <w:rFonts w:hint="eastAsia"/>
          <w:b w:val="0"/>
          <w:bCs/>
          <w:color w:val="auto"/>
          <w:sz w:val="36"/>
          <w:szCs w:val="48"/>
          <w:highlight w:val="none"/>
        </w:rPr>
        <w:t>第</w:t>
      </w:r>
      <w:r>
        <w:rPr>
          <w:rFonts w:hint="eastAsia"/>
          <w:b w:val="0"/>
          <w:bCs/>
          <w:color w:val="auto"/>
          <w:sz w:val="36"/>
          <w:szCs w:val="48"/>
          <w:highlight w:val="none"/>
          <w:lang w:val="en-US" w:eastAsia="zh-CN"/>
        </w:rPr>
        <w:t>七</w:t>
      </w:r>
      <w:r>
        <w:rPr>
          <w:rFonts w:hint="eastAsia"/>
          <w:b w:val="0"/>
          <w:bCs/>
          <w:color w:val="auto"/>
          <w:sz w:val="36"/>
          <w:szCs w:val="48"/>
          <w:highlight w:val="none"/>
        </w:rPr>
        <w:t xml:space="preserve">章 </w:t>
      </w:r>
      <w:r>
        <w:rPr>
          <w:rFonts w:hint="eastAsia"/>
          <w:b w:val="0"/>
          <w:bCs/>
          <w:color w:val="auto"/>
          <w:sz w:val="36"/>
          <w:szCs w:val="48"/>
          <w:highlight w:val="none"/>
          <w:lang w:val="en-US" w:eastAsia="zh-CN"/>
        </w:rPr>
        <w:t>强化旅游品牌营销推广</w:t>
      </w:r>
      <w:bookmarkEnd w:id="165"/>
      <w:bookmarkEnd w:id="166"/>
      <w:bookmarkEnd w:id="167"/>
    </w:p>
    <w:p w14:paraId="5CD97085">
      <w:pPr>
        <w:pStyle w:val="3"/>
        <w:shd w:val="clear"/>
        <w:spacing w:before="62" w:after="93"/>
        <w:ind w:firstLine="643"/>
        <w:jc w:val="left"/>
        <w:rPr>
          <w:rFonts w:hint="eastAsia"/>
          <w:b w:val="0"/>
          <w:bCs/>
          <w:color w:val="auto"/>
          <w:highlight w:val="none"/>
          <w:lang w:val="en-US" w:eastAsia="zh-CN"/>
        </w:rPr>
      </w:pPr>
      <w:bookmarkStart w:id="168" w:name="_Toc28738"/>
      <w:bookmarkStart w:id="169" w:name="_Toc19840"/>
      <w:bookmarkStart w:id="170" w:name="_Toc11415"/>
      <w:r>
        <w:rPr>
          <w:rFonts w:hint="eastAsia"/>
          <w:b w:val="0"/>
          <w:bCs/>
          <w:color w:val="auto"/>
          <w:highlight w:val="none"/>
          <w:lang w:val="en-US" w:eastAsia="zh-CN"/>
        </w:rPr>
        <w:t>一、</w:t>
      </w:r>
      <w:bookmarkEnd w:id="168"/>
      <w:r>
        <w:rPr>
          <w:rFonts w:hint="eastAsia"/>
          <w:b w:val="0"/>
          <w:bCs/>
          <w:color w:val="auto"/>
          <w:highlight w:val="none"/>
          <w:lang w:val="en-US" w:eastAsia="zh-CN"/>
        </w:rPr>
        <w:t>构建整体旅游品牌</w:t>
      </w:r>
      <w:bookmarkEnd w:id="169"/>
      <w:bookmarkEnd w:id="170"/>
    </w:p>
    <w:p w14:paraId="69D73A9E">
      <w:pPr>
        <w:rPr>
          <w:rFonts w:hint="eastAsia"/>
          <w:lang w:val="en-US" w:eastAsia="zh-CN"/>
        </w:rPr>
      </w:pPr>
      <w:r>
        <w:rPr>
          <w:rFonts w:hint="eastAsia"/>
          <w:lang w:val="en-US" w:eastAsia="zh-CN"/>
        </w:rPr>
        <w:t>聚焦万宁旅游品牌系统化建设，以</w:t>
      </w:r>
      <w:r>
        <w:rPr>
          <w:rFonts w:hint="eastAsia"/>
          <w:b/>
          <w:bCs/>
          <w:lang w:val="en-US" w:eastAsia="zh-CN"/>
        </w:rPr>
        <w:t>“多彩多情·万福万宁”</w:t>
      </w:r>
      <w:r>
        <w:rPr>
          <w:rFonts w:hint="eastAsia"/>
          <w:lang w:val="en-US" w:eastAsia="zh-CN"/>
        </w:rPr>
        <w:t>核心品牌为根基，对接“十五五”旅游市场消费趋势与发展需求，优化品牌形象体系，开展品牌形象征集与升级工作，推动品牌形象与市场需求同频共振。深挖滨海度假、海洋运动、侨乡风情、健康疗养、免税消费、乡村休闲核心特质，</w:t>
      </w:r>
      <w:r>
        <w:rPr>
          <w:rFonts w:hint="eastAsia" w:ascii="Times New Roman" w:hAnsi="Times New Roman" w:eastAsia="仿宋_GB2312" w:cs="Times New Roman"/>
          <w:b w:val="0"/>
          <w:bCs w:val="0"/>
          <w:snapToGrid/>
          <w:color w:val="000000"/>
          <w:kern w:val="2"/>
          <w:sz w:val="32"/>
          <w:szCs w:val="32"/>
          <w:lang w:eastAsia="zh-CN" w:bidi="ar"/>
        </w:rPr>
        <w:t>升级塑造“</w:t>
      </w:r>
      <w:r>
        <w:rPr>
          <w:rFonts w:hint="eastAsia" w:ascii="Times New Roman" w:hAnsi="Times New Roman" w:cs="Times New Roman"/>
          <w:b w:val="0"/>
          <w:bCs w:val="0"/>
          <w:snapToGrid/>
          <w:color w:val="000000"/>
          <w:kern w:val="2"/>
          <w:sz w:val="32"/>
          <w:szCs w:val="32"/>
          <w:lang w:val="en-US" w:eastAsia="zh-CN" w:bidi="ar"/>
        </w:rPr>
        <w:t>冲浪胜地</w:t>
      </w:r>
      <w:r>
        <w:rPr>
          <w:rFonts w:hint="eastAsia" w:ascii="Times New Roman" w:hAnsi="Times New Roman" w:eastAsia="仿宋_GB2312" w:cs="Times New Roman"/>
          <w:b w:val="0"/>
          <w:bCs w:val="0"/>
          <w:snapToGrid/>
          <w:color w:val="000000"/>
          <w:kern w:val="2"/>
          <w:sz w:val="32"/>
          <w:szCs w:val="32"/>
          <w:lang w:eastAsia="zh-CN" w:bidi="ar"/>
        </w:rPr>
        <w:t>”“</w:t>
      </w:r>
      <w:r>
        <w:rPr>
          <w:rFonts w:hint="eastAsia" w:ascii="Times New Roman" w:hAnsi="Times New Roman" w:cs="Times New Roman"/>
          <w:b w:val="0"/>
          <w:bCs w:val="0"/>
          <w:snapToGrid/>
          <w:color w:val="000000"/>
          <w:kern w:val="2"/>
          <w:sz w:val="32"/>
          <w:szCs w:val="32"/>
          <w:lang w:val="en-US" w:eastAsia="zh-CN" w:bidi="ar"/>
        </w:rPr>
        <w:t>侨韵咖</w:t>
      </w:r>
      <w:r>
        <w:rPr>
          <w:rFonts w:hint="eastAsia" w:ascii="Times New Roman" w:hAnsi="Times New Roman" w:eastAsia="仿宋_GB2312" w:cs="Times New Roman"/>
          <w:b w:val="0"/>
          <w:bCs w:val="0"/>
          <w:snapToGrid/>
          <w:color w:val="000000"/>
          <w:kern w:val="2"/>
          <w:sz w:val="32"/>
          <w:szCs w:val="32"/>
          <w:lang w:eastAsia="zh-CN" w:bidi="ar"/>
        </w:rPr>
        <w:t>乡”“</w:t>
      </w:r>
      <w:r>
        <w:rPr>
          <w:rFonts w:hint="eastAsia" w:ascii="Times New Roman" w:hAnsi="Times New Roman" w:cs="Times New Roman"/>
          <w:b w:val="0"/>
          <w:bCs w:val="0"/>
          <w:snapToGrid/>
          <w:color w:val="000000"/>
          <w:kern w:val="2"/>
          <w:sz w:val="32"/>
          <w:szCs w:val="32"/>
          <w:lang w:val="en-US" w:eastAsia="zh-CN" w:bidi="ar"/>
        </w:rPr>
        <w:t>武术</w:t>
      </w:r>
      <w:r>
        <w:rPr>
          <w:rFonts w:hint="eastAsia" w:ascii="Times New Roman" w:hAnsi="Times New Roman" w:eastAsia="仿宋_GB2312" w:cs="Times New Roman"/>
          <w:b w:val="0"/>
          <w:bCs w:val="0"/>
          <w:snapToGrid/>
          <w:color w:val="000000"/>
          <w:kern w:val="2"/>
          <w:sz w:val="32"/>
          <w:szCs w:val="32"/>
          <w:lang w:eastAsia="zh-CN" w:bidi="ar"/>
        </w:rPr>
        <w:t>之</w:t>
      </w:r>
      <w:r>
        <w:rPr>
          <w:rFonts w:hint="eastAsia" w:ascii="Times New Roman" w:hAnsi="Times New Roman" w:cs="Times New Roman"/>
          <w:b w:val="0"/>
          <w:bCs w:val="0"/>
          <w:snapToGrid/>
          <w:color w:val="000000"/>
          <w:kern w:val="2"/>
          <w:sz w:val="32"/>
          <w:szCs w:val="32"/>
          <w:lang w:val="en-US" w:eastAsia="zh-CN" w:bidi="ar"/>
        </w:rPr>
        <w:t>乡</w:t>
      </w:r>
      <w:r>
        <w:rPr>
          <w:rFonts w:hint="eastAsia" w:ascii="Times New Roman" w:hAnsi="Times New Roman" w:eastAsia="仿宋_GB2312" w:cs="Times New Roman"/>
          <w:b w:val="0"/>
          <w:bCs w:val="0"/>
          <w:snapToGrid/>
          <w:color w:val="000000"/>
          <w:kern w:val="2"/>
          <w:sz w:val="32"/>
          <w:szCs w:val="32"/>
          <w:lang w:eastAsia="zh-CN" w:bidi="ar"/>
        </w:rPr>
        <w:t>”“美食之乡”等</w:t>
      </w:r>
      <w:r>
        <w:rPr>
          <w:rFonts w:hint="eastAsia" w:ascii="Times New Roman" w:hAnsi="Times New Roman" w:eastAsia="仿宋_GB2312" w:cs="Times New Roman"/>
          <w:b/>
          <w:bCs/>
          <w:snapToGrid/>
          <w:color w:val="000000"/>
          <w:kern w:val="2"/>
          <w:sz w:val="32"/>
          <w:szCs w:val="32"/>
          <w:lang w:eastAsia="zh-CN" w:bidi="ar"/>
        </w:rPr>
        <w:t>“</w:t>
      </w:r>
      <w:r>
        <w:rPr>
          <w:rFonts w:hint="eastAsia" w:ascii="Times New Roman" w:hAnsi="Times New Roman" w:cs="Times New Roman"/>
          <w:b/>
          <w:bCs/>
          <w:snapToGrid/>
          <w:color w:val="000000"/>
          <w:kern w:val="2"/>
          <w:sz w:val="32"/>
          <w:szCs w:val="32"/>
          <w:lang w:val="en-US" w:eastAsia="zh-CN" w:bidi="ar"/>
        </w:rPr>
        <w:t>一地三</w:t>
      </w:r>
      <w:r>
        <w:rPr>
          <w:rFonts w:hint="eastAsia" w:ascii="Times New Roman" w:hAnsi="Times New Roman" w:eastAsia="仿宋_GB2312" w:cs="Times New Roman"/>
          <w:b/>
          <w:bCs/>
          <w:snapToGrid/>
          <w:color w:val="000000"/>
          <w:kern w:val="2"/>
          <w:sz w:val="32"/>
          <w:szCs w:val="32"/>
          <w:lang w:eastAsia="zh-CN" w:bidi="ar"/>
        </w:rPr>
        <w:t>乡”</w:t>
      </w:r>
      <w:r>
        <w:rPr>
          <w:rFonts w:hint="eastAsia" w:ascii="Times New Roman" w:hAnsi="Times New Roman" w:eastAsia="仿宋_GB2312" w:cs="Times New Roman"/>
          <w:b w:val="0"/>
          <w:bCs w:val="0"/>
          <w:snapToGrid/>
          <w:color w:val="000000"/>
          <w:kern w:val="2"/>
          <w:sz w:val="32"/>
          <w:szCs w:val="32"/>
          <w:lang w:eastAsia="zh-CN" w:bidi="ar"/>
        </w:rPr>
        <w:t>标志性名片，</w:t>
      </w:r>
      <w:r>
        <w:rPr>
          <w:rFonts w:hint="eastAsia"/>
          <w:lang w:val="en-US" w:eastAsia="zh-CN"/>
        </w:rPr>
        <w:t>提升万宁旅游整体品牌辨识度、美誉度和市场竞争力。</w:t>
      </w:r>
    </w:p>
    <w:p w14:paraId="51EA986C">
      <w:pPr>
        <w:pStyle w:val="3"/>
        <w:shd w:val="clear"/>
        <w:spacing w:before="62" w:after="93"/>
        <w:ind w:firstLine="643"/>
        <w:jc w:val="left"/>
        <w:rPr>
          <w:rFonts w:hint="eastAsia"/>
          <w:b w:val="0"/>
          <w:bCs/>
          <w:color w:val="auto"/>
          <w:highlight w:val="none"/>
          <w:lang w:val="en-US" w:eastAsia="zh-CN"/>
        </w:rPr>
      </w:pPr>
      <w:bookmarkStart w:id="171" w:name="_Toc29990"/>
      <w:bookmarkStart w:id="172" w:name="_Toc28678"/>
      <w:bookmarkStart w:id="173" w:name="_Toc6762"/>
      <w:r>
        <w:rPr>
          <w:rFonts w:hint="eastAsia"/>
          <w:b w:val="0"/>
          <w:bCs/>
          <w:color w:val="auto"/>
          <w:highlight w:val="none"/>
          <w:lang w:val="en-US" w:eastAsia="zh-CN"/>
        </w:rPr>
        <w:t>二、</w:t>
      </w:r>
      <w:bookmarkEnd w:id="171"/>
      <w:r>
        <w:rPr>
          <w:rFonts w:hint="eastAsia"/>
          <w:b w:val="0"/>
          <w:bCs/>
          <w:color w:val="auto"/>
          <w:highlight w:val="none"/>
          <w:lang w:val="en-US" w:eastAsia="zh-CN"/>
        </w:rPr>
        <w:t>强化宣传营销引流</w:t>
      </w:r>
      <w:bookmarkEnd w:id="172"/>
      <w:bookmarkEnd w:id="173"/>
    </w:p>
    <w:p w14:paraId="2042F45B">
      <w:pPr>
        <w:tabs>
          <w:tab w:val="left" w:pos="40"/>
        </w:tabs>
        <w:ind w:firstLine="643"/>
        <w:rPr>
          <w:rFonts w:hint="eastAsia"/>
          <w:color w:val="auto"/>
        </w:rPr>
      </w:pPr>
      <w:r>
        <w:rPr>
          <w:rFonts w:hint="eastAsia"/>
          <w:b/>
          <w:bCs/>
          <w:color w:val="auto"/>
        </w:rPr>
        <w:t>深耕主要客源地营销体系。</w:t>
      </w:r>
      <w:r>
        <w:rPr>
          <w:rFonts w:hint="eastAsia"/>
          <w:color w:val="auto"/>
        </w:rPr>
        <w:t>依托万宁籍华侨华人资源优势，深化与境外万宁社团、侨团、同乡会等合作，创新“以侨引客”机制，重点开发东南亚入境基础市场，拓展俄罗斯、日韩、北美、欧洲等海外市场。深耕东三省、长三角、大湾区、成渝城市群等国内核心客源地，联动省内各市</w:t>
      </w:r>
      <w:r>
        <w:rPr>
          <w:rFonts w:hint="eastAsia"/>
          <w:color w:val="auto"/>
          <w:lang w:val="en-US" w:eastAsia="zh-CN"/>
        </w:rPr>
        <w:t>县</w:t>
      </w:r>
      <w:r>
        <w:rPr>
          <w:rFonts w:hint="eastAsia"/>
          <w:color w:val="auto"/>
        </w:rPr>
        <w:t>协同开展客源互送、线路互推与联合营销，共拓省外旅游市场。</w:t>
      </w:r>
    </w:p>
    <w:p w14:paraId="43A4F870">
      <w:pPr>
        <w:ind w:firstLine="643"/>
        <w:rPr>
          <w:rFonts w:hint="eastAsia" w:eastAsia="仿宋_GB2312"/>
          <w:color w:val="auto"/>
          <w:lang w:eastAsia="zh-CN"/>
        </w:rPr>
      </w:pPr>
      <w:r>
        <w:rPr>
          <w:rFonts w:hint="eastAsia"/>
          <w:b/>
          <w:bCs/>
          <w:color w:val="auto"/>
        </w:rPr>
        <w:t>创新全媒体旅游营销方式。</w:t>
      </w:r>
      <w:r>
        <w:rPr>
          <w:rFonts w:hint="eastAsia"/>
          <w:color w:val="auto"/>
        </w:rPr>
        <w:t>将</w:t>
      </w:r>
      <w:r>
        <w:rPr>
          <w:rFonts w:hint="eastAsia"/>
          <w:color w:val="auto"/>
          <w:lang w:val="en-US" w:eastAsia="zh-CN"/>
        </w:rPr>
        <w:t>万宁</w:t>
      </w:r>
      <w:r>
        <w:rPr>
          <w:rFonts w:hint="eastAsia"/>
          <w:color w:val="auto"/>
        </w:rPr>
        <w:t>旅游品牌深度嵌入文商旅体经营内容，依托滨海资源、地标建筑、体育场馆及景区景点等场景，推进宣传口号、歌曲、宣传片、短视频、VI系统等创作传播，同时强化主流媒体合作，联动国际</w:t>
      </w:r>
      <w:r>
        <w:rPr>
          <w:rFonts w:hint="eastAsia"/>
          <w:color w:val="auto"/>
          <w:lang w:val="en-US" w:eastAsia="zh-CN"/>
        </w:rPr>
        <w:t>国内</w:t>
      </w:r>
      <w:r>
        <w:rPr>
          <w:rFonts w:hint="eastAsia"/>
          <w:color w:val="auto"/>
        </w:rPr>
        <w:t>社交媒体，全方位立体化展示</w:t>
      </w:r>
      <w:r>
        <w:rPr>
          <w:rFonts w:hint="eastAsia"/>
          <w:color w:val="auto"/>
          <w:lang w:val="en-US" w:eastAsia="zh-CN"/>
        </w:rPr>
        <w:t>万宁</w:t>
      </w:r>
      <w:r>
        <w:rPr>
          <w:rFonts w:hint="eastAsia"/>
          <w:color w:val="auto"/>
        </w:rPr>
        <w:t>城市形象</w:t>
      </w:r>
      <w:r>
        <w:rPr>
          <w:rFonts w:hint="eastAsia"/>
          <w:color w:val="auto"/>
          <w:lang w:eastAsia="zh-CN"/>
        </w:rPr>
        <w:t>。</w:t>
      </w:r>
    </w:p>
    <w:p w14:paraId="2ADBAF10">
      <w:pPr>
        <w:tabs>
          <w:tab w:val="left" w:pos="40"/>
        </w:tabs>
        <w:ind w:firstLine="643"/>
        <w:rPr>
          <w:rFonts w:hint="eastAsia"/>
          <w:color w:val="auto"/>
        </w:rPr>
      </w:pPr>
      <w:r>
        <w:rPr>
          <w:rFonts w:hint="eastAsia"/>
          <w:b/>
          <w:bCs/>
          <w:color w:val="auto"/>
        </w:rPr>
        <w:t>实施“跟着微短剧游</w:t>
      </w:r>
      <w:r>
        <w:rPr>
          <w:rFonts w:hint="eastAsia"/>
          <w:b/>
          <w:bCs/>
          <w:color w:val="auto"/>
          <w:lang w:val="en-US" w:eastAsia="zh-CN"/>
        </w:rPr>
        <w:t>万宁</w:t>
      </w:r>
      <w:r>
        <w:rPr>
          <w:rFonts w:hint="eastAsia"/>
          <w:b/>
          <w:bCs/>
          <w:color w:val="auto"/>
        </w:rPr>
        <w:t>”计划。</w:t>
      </w:r>
      <w:r>
        <w:rPr>
          <w:rFonts w:hint="eastAsia"/>
          <w:color w:val="auto"/>
        </w:rPr>
        <w:t>组织广播电视、网络视听等各类内容制作机构，挖掘</w:t>
      </w:r>
      <w:r>
        <w:rPr>
          <w:rFonts w:hint="eastAsia"/>
          <w:color w:val="auto"/>
          <w:lang w:val="en-US" w:eastAsia="zh-CN"/>
        </w:rPr>
        <w:t>万宁旅文体</w:t>
      </w:r>
      <w:r>
        <w:rPr>
          <w:rFonts w:hint="eastAsia"/>
          <w:color w:val="auto"/>
        </w:rPr>
        <w:t>领域</w:t>
      </w:r>
      <w:r>
        <w:rPr>
          <w:rFonts w:hint="eastAsia"/>
          <w:color w:val="auto"/>
          <w:lang w:eastAsia="zh-CN"/>
        </w:rPr>
        <w:t>的</w:t>
      </w:r>
      <w:r>
        <w:rPr>
          <w:rFonts w:hint="eastAsia"/>
          <w:color w:val="auto"/>
        </w:rPr>
        <w:t>场景、人物、故事</w:t>
      </w:r>
      <w:r>
        <w:rPr>
          <w:rFonts w:hint="eastAsia"/>
          <w:color w:val="auto"/>
          <w:lang w:val="en-US" w:eastAsia="zh-CN"/>
        </w:rPr>
        <w:t>素材</w:t>
      </w:r>
      <w:r>
        <w:rPr>
          <w:rFonts w:hint="eastAsia"/>
          <w:color w:val="auto"/>
        </w:rPr>
        <w:t>，创作播出</w:t>
      </w:r>
      <w:r>
        <w:rPr>
          <w:rFonts w:hint="eastAsia"/>
          <w:color w:val="auto"/>
          <w:lang w:val="en-US" w:eastAsia="zh-CN"/>
        </w:rPr>
        <w:t>万宁</w:t>
      </w:r>
      <w:r>
        <w:rPr>
          <w:rFonts w:hint="eastAsia"/>
          <w:color w:val="auto"/>
        </w:rPr>
        <w:t>题材优秀微短剧</w:t>
      </w:r>
      <w:r>
        <w:rPr>
          <w:rFonts w:hint="eastAsia"/>
          <w:color w:val="auto"/>
          <w:lang w:eastAsia="zh-CN"/>
        </w:rPr>
        <w:t>，</w:t>
      </w:r>
      <w:r>
        <w:rPr>
          <w:rFonts w:hint="eastAsia"/>
          <w:color w:val="auto"/>
        </w:rPr>
        <w:t>植入文旅元素</w:t>
      </w:r>
      <w:r>
        <w:rPr>
          <w:rFonts w:hint="eastAsia"/>
          <w:color w:val="auto"/>
          <w:lang w:val="en-US" w:eastAsia="zh-CN"/>
        </w:rPr>
        <w:t>和</w:t>
      </w:r>
      <w:r>
        <w:rPr>
          <w:rFonts w:hint="eastAsia"/>
          <w:color w:val="auto"/>
        </w:rPr>
        <w:t>创意情节，推动实体取景地随微短剧热播出圈</w:t>
      </w:r>
      <w:r>
        <w:rPr>
          <w:rFonts w:hint="eastAsia"/>
          <w:color w:val="auto"/>
          <w:lang w:eastAsia="zh-CN"/>
        </w:rPr>
        <w:t>走热，</w:t>
      </w:r>
      <w:r>
        <w:rPr>
          <w:rFonts w:hint="eastAsia"/>
          <w:color w:val="auto"/>
        </w:rPr>
        <w:t>形成可复制可推广的“</w:t>
      </w:r>
      <w:r>
        <w:rPr>
          <w:rFonts w:hint="eastAsia"/>
          <w:color w:val="auto"/>
          <w:lang w:val="en-US" w:eastAsia="zh-CN"/>
        </w:rPr>
        <w:t>万宁</w:t>
      </w:r>
      <w:r>
        <w:rPr>
          <w:rFonts w:hint="eastAsia"/>
          <w:color w:val="auto"/>
        </w:rPr>
        <w:t>微短剧+文旅”融合模式。</w:t>
      </w:r>
    </w:p>
    <w:p w14:paraId="48D7D280">
      <w:pPr>
        <w:pStyle w:val="3"/>
        <w:shd w:val="clear"/>
        <w:spacing w:before="62" w:after="93"/>
        <w:ind w:firstLine="643"/>
        <w:jc w:val="left"/>
        <w:rPr>
          <w:rFonts w:hint="eastAsia"/>
          <w:b w:val="0"/>
          <w:bCs/>
          <w:color w:val="auto"/>
          <w:highlight w:val="none"/>
          <w:lang w:val="en-US" w:eastAsia="zh-CN"/>
        </w:rPr>
      </w:pPr>
      <w:bookmarkStart w:id="174" w:name="_Toc13780"/>
      <w:bookmarkStart w:id="175" w:name="_Toc29372"/>
      <w:r>
        <w:rPr>
          <w:rFonts w:hint="eastAsia"/>
          <w:b w:val="0"/>
          <w:bCs/>
          <w:color w:val="auto"/>
          <w:highlight w:val="none"/>
          <w:lang w:val="en-US" w:eastAsia="zh-CN"/>
        </w:rPr>
        <w:t>三、创新精准营销策略</w:t>
      </w:r>
      <w:bookmarkEnd w:id="174"/>
      <w:bookmarkEnd w:id="175"/>
    </w:p>
    <w:p w14:paraId="60CDE760">
      <w:pPr>
        <w:tabs>
          <w:tab w:val="left" w:pos="40"/>
        </w:tabs>
        <w:ind w:firstLine="643"/>
        <w:rPr>
          <w:rFonts w:hint="eastAsia"/>
          <w:color w:val="auto"/>
        </w:rPr>
      </w:pPr>
      <w:r>
        <w:rPr>
          <w:rFonts w:hint="eastAsia"/>
          <w:b/>
          <w:bCs/>
          <w:color w:val="auto"/>
        </w:rPr>
        <w:t>开展细分客群精准营销</w:t>
      </w:r>
      <w:r>
        <w:rPr>
          <w:rFonts w:hint="eastAsia"/>
          <w:b/>
          <w:bCs/>
          <w:color w:val="auto"/>
          <w:lang w:eastAsia="zh-CN"/>
        </w:rPr>
        <w:t>。</w:t>
      </w:r>
      <w:r>
        <w:rPr>
          <w:rFonts w:hint="eastAsia"/>
          <w:color w:val="auto"/>
        </w:rPr>
        <w:t>面向年轻群体，推广户外运动、文化节庆、非遗潮玩、影视旅游等体验性产品；面向亲子家庭和学生群体，重点推广侨乡文化研学产品，支持与各级各类学校合作开展实地教育活动；面向银发群体，推广温泉康养旅游、候鸟式旅居游、淡季错峰游等产品，鼓励重点康养景区度假区与医疗机构开展合作，打造侨乡健康产品体系。</w:t>
      </w:r>
    </w:p>
    <w:p w14:paraId="6EDA6936">
      <w:pPr>
        <w:tabs>
          <w:tab w:val="left" w:pos="40"/>
        </w:tabs>
        <w:ind w:firstLine="643"/>
        <w:rPr>
          <w:rFonts w:hint="eastAsia" w:eastAsia="仿宋_GB2312"/>
          <w:color w:val="auto"/>
          <w:lang w:eastAsia="zh-CN"/>
        </w:rPr>
      </w:pPr>
      <w:r>
        <w:rPr>
          <w:rFonts w:hint="eastAsia"/>
          <w:b/>
          <w:bCs/>
          <w:color w:val="auto"/>
        </w:rPr>
        <w:t>构建差异化消费场景。</w:t>
      </w:r>
      <w:r>
        <w:rPr>
          <w:rFonts w:hint="eastAsia"/>
          <w:color w:val="auto"/>
        </w:rPr>
        <w:t>在</w:t>
      </w:r>
      <w:r>
        <w:rPr>
          <w:rFonts w:hint="eastAsia"/>
          <w:b/>
          <w:bCs/>
          <w:color w:val="auto"/>
        </w:rPr>
        <w:t>海上休闲运动</w:t>
      </w:r>
      <w:r>
        <w:rPr>
          <w:rFonts w:hint="eastAsia"/>
          <w:color w:val="auto"/>
        </w:rPr>
        <w:t>方面，推出</w:t>
      </w:r>
      <w:r>
        <w:rPr>
          <w:rFonts w:hint="eastAsia"/>
          <w:color w:val="auto"/>
          <w:lang w:val="en-US" w:eastAsia="zh-CN"/>
        </w:rPr>
        <w:t>冲浪、</w:t>
      </w:r>
      <w:r>
        <w:rPr>
          <w:rFonts w:hint="eastAsia"/>
          <w:color w:val="auto"/>
        </w:rPr>
        <w:t>帆板、潜水等海上休闲运动体验项目，举办海上马拉松、帆船比赛等海上运动赛事和活动；在</w:t>
      </w:r>
      <w:r>
        <w:rPr>
          <w:rFonts w:hint="eastAsia"/>
          <w:b/>
          <w:bCs/>
          <w:color w:val="auto"/>
        </w:rPr>
        <w:t>海岛旅游</w:t>
      </w:r>
      <w:r>
        <w:rPr>
          <w:rFonts w:hint="eastAsia"/>
          <w:color w:val="auto"/>
        </w:rPr>
        <w:t>方面，推出海岛度假别墅、海岛婚礼、海岛蜜月等特色旅游产品，举办海岛旅游节、海岛音乐节等活动；在</w:t>
      </w:r>
      <w:r>
        <w:rPr>
          <w:rFonts w:hint="eastAsia"/>
          <w:b/>
          <w:bCs/>
          <w:color w:val="auto"/>
        </w:rPr>
        <w:t>康养度假</w:t>
      </w:r>
      <w:r>
        <w:rPr>
          <w:rFonts w:hint="eastAsia"/>
          <w:color w:val="auto"/>
        </w:rPr>
        <w:t>方面，开发</w:t>
      </w:r>
      <w:r>
        <w:rPr>
          <w:rFonts w:hint="eastAsia"/>
          <w:color w:val="auto"/>
          <w:lang w:val="en-US" w:eastAsia="zh-CN"/>
        </w:rPr>
        <w:t>温泉</w:t>
      </w:r>
      <w:r>
        <w:rPr>
          <w:rFonts w:hint="eastAsia"/>
          <w:color w:val="auto"/>
        </w:rPr>
        <w:t>度假村、康养</w:t>
      </w:r>
      <w:r>
        <w:rPr>
          <w:rFonts w:hint="eastAsia"/>
          <w:color w:val="auto"/>
          <w:lang w:val="en-US" w:eastAsia="zh-CN"/>
        </w:rPr>
        <w:t>基地</w:t>
      </w:r>
      <w:r>
        <w:rPr>
          <w:rFonts w:hint="eastAsia"/>
          <w:color w:val="auto"/>
        </w:rPr>
        <w:t>等康养度假旅游产品，推出健康检查、医疗康复等康养服务，提供定制化的康养度假服务；在</w:t>
      </w:r>
      <w:r>
        <w:rPr>
          <w:rFonts w:hint="eastAsia"/>
          <w:b/>
          <w:bCs/>
          <w:color w:val="auto"/>
        </w:rPr>
        <w:t>侨乡文化旅游</w:t>
      </w:r>
      <w:r>
        <w:rPr>
          <w:rFonts w:hint="eastAsia"/>
          <w:color w:val="auto"/>
        </w:rPr>
        <w:t>方面，精心打造热带雨林、热带植物园等特色景点，推出热带水果采摘、美食制作等丰富多样的</w:t>
      </w:r>
      <w:r>
        <w:rPr>
          <w:rFonts w:hint="eastAsia"/>
          <w:color w:val="auto"/>
          <w:lang w:val="en-US" w:eastAsia="zh-CN"/>
        </w:rPr>
        <w:t>侨乡</w:t>
      </w:r>
      <w:r>
        <w:rPr>
          <w:rFonts w:hint="eastAsia"/>
          <w:color w:val="auto"/>
        </w:rPr>
        <w:t>风情体验项目，让游客全方位感受</w:t>
      </w:r>
      <w:r>
        <w:rPr>
          <w:rFonts w:hint="eastAsia"/>
          <w:color w:val="auto"/>
          <w:lang w:val="en-US" w:eastAsia="zh-CN"/>
        </w:rPr>
        <w:t>侨韵咖乡</w:t>
      </w:r>
      <w:r>
        <w:rPr>
          <w:rFonts w:hint="eastAsia"/>
          <w:color w:val="auto"/>
        </w:rPr>
        <w:t>的独特文化和魅力</w:t>
      </w:r>
      <w:r>
        <w:rPr>
          <w:rFonts w:hint="eastAsia"/>
          <w:color w:val="auto"/>
          <w:lang w:eastAsia="zh-CN"/>
        </w:rPr>
        <w:t>。</w:t>
      </w:r>
    </w:p>
    <w:p w14:paraId="2B43B1EA">
      <w:pPr>
        <w:pStyle w:val="3"/>
        <w:shd w:val="clear"/>
        <w:spacing w:before="62" w:after="93"/>
        <w:ind w:firstLine="643"/>
        <w:jc w:val="left"/>
        <w:rPr>
          <w:rFonts w:hint="default"/>
          <w:b w:val="0"/>
          <w:bCs/>
          <w:color w:val="auto"/>
          <w:highlight w:val="none"/>
          <w:lang w:val="en-US" w:eastAsia="zh-CN"/>
        </w:rPr>
      </w:pPr>
      <w:bookmarkStart w:id="176" w:name="_Toc24730"/>
      <w:bookmarkStart w:id="177" w:name="_Toc17595"/>
      <w:bookmarkStart w:id="178" w:name="_Toc5535"/>
      <w:r>
        <w:rPr>
          <w:rFonts w:hint="eastAsia"/>
          <w:b w:val="0"/>
          <w:bCs/>
          <w:color w:val="auto"/>
          <w:highlight w:val="none"/>
          <w:lang w:val="en-US" w:eastAsia="zh-CN"/>
        </w:rPr>
        <w:t>四、跨区域文旅协同发展</w:t>
      </w:r>
      <w:bookmarkEnd w:id="176"/>
      <w:bookmarkEnd w:id="177"/>
      <w:bookmarkEnd w:id="178"/>
    </w:p>
    <w:p w14:paraId="3E8280B1">
      <w:pPr>
        <w:shd w:val="clear"/>
        <w:ind w:firstLine="643"/>
        <w:rPr>
          <w:rFonts w:hint="eastAsia" w:cs="Times New Roman"/>
          <w:b w:val="0"/>
          <w:bCs w:val="0"/>
          <w:color w:val="auto"/>
          <w:highlight w:val="none"/>
          <w:lang w:val="en-US" w:eastAsia="zh-CN"/>
        </w:rPr>
      </w:pPr>
      <w:r>
        <w:rPr>
          <w:rFonts w:hint="eastAsia" w:cs="Times New Roman"/>
          <w:b/>
          <w:bCs/>
          <w:color w:val="auto"/>
          <w:highlight w:val="none"/>
          <w:lang w:val="en-US" w:eastAsia="zh-CN"/>
        </w:rPr>
        <w:t>推动省内旅游合作共赢。</w:t>
      </w:r>
      <w:r>
        <w:rPr>
          <w:rFonts w:hint="eastAsia" w:cs="Times New Roman"/>
          <w:b w:val="0"/>
          <w:bCs w:val="0"/>
          <w:color w:val="auto"/>
          <w:highlight w:val="none"/>
          <w:lang w:val="en-US" w:eastAsia="zh-CN"/>
        </w:rPr>
        <w:t>强化与三亚、海口的海上交通衔接，推动与周边市县优势互补、协同发展，联合琼海打造特色渔港经济区、医养旅游融合发展区。积极融入“大三亚”旅游经济圈，强化在品牌打造、营销推广、路线设计等领域的联动合作，引导旅游企业对标国际水准进行产品升级与服务提质。深度融入热带雨林国家公园建设，推进万泉河流域一体化发展，加强与琼海、琼中、陵水等市县旅游合作。</w:t>
      </w:r>
    </w:p>
    <w:p w14:paraId="6B5D5558">
      <w:pPr>
        <w:shd w:val="clear"/>
        <w:ind w:firstLine="643"/>
        <w:rPr>
          <w:rFonts w:hint="eastAsia" w:cs="Times New Roman"/>
          <w:color w:val="auto"/>
          <w:highlight w:val="none"/>
          <w:lang w:val="en-US" w:eastAsia="zh-CN"/>
        </w:rPr>
      </w:pPr>
      <w:r>
        <w:rPr>
          <w:rFonts w:hint="eastAsia" w:cs="Times New Roman"/>
          <w:b/>
          <w:bCs/>
          <w:color w:val="auto"/>
          <w:highlight w:val="none"/>
          <w:lang w:val="en-US" w:eastAsia="zh-CN"/>
        </w:rPr>
        <w:t>加强国内旅游城市协作。</w:t>
      </w:r>
      <w:r>
        <w:rPr>
          <w:rFonts w:hint="eastAsia" w:cs="Times New Roman"/>
          <w:color w:val="auto"/>
          <w:highlight w:val="none"/>
          <w:lang w:val="en-US" w:eastAsia="zh-CN"/>
        </w:rPr>
        <w:t>主动对接国家区域重大战略，深化与粤港澳大湾区、京津冀、长三角、长江经济带等重要城市合作发展，在文旅科技、旅游消费、文化体育等重点领域协作，推出多元主题的城市联游特色路线，实现与区域热门旅游景点景区、客源城市客源互送。积极参与多元化国际传播平台建设，共同开拓国际客源市场。</w:t>
      </w:r>
    </w:p>
    <w:p w14:paraId="073C312D">
      <w:pPr>
        <w:shd w:val="clear"/>
        <w:ind w:firstLine="643"/>
        <w:rPr>
          <w:rFonts w:hint="eastAsia"/>
          <w:color w:val="auto"/>
          <w:highlight w:val="none"/>
          <w:lang w:val="en-US" w:eastAsia="zh-CN"/>
        </w:rPr>
      </w:pPr>
      <w:r>
        <w:rPr>
          <w:rFonts w:hint="eastAsia"/>
          <w:b/>
          <w:bCs/>
          <w:color w:val="auto"/>
          <w:highlight w:val="none"/>
          <w:lang w:val="en-US" w:eastAsia="zh-CN"/>
        </w:rPr>
        <w:t>推进国际旅游交流合作。</w:t>
      </w:r>
      <w:r>
        <w:rPr>
          <w:rFonts w:hint="eastAsia"/>
          <w:color w:val="auto"/>
          <w:highlight w:val="none"/>
          <w:lang w:val="en-US" w:eastAsia="zh-CN"/>
        </w:rPr>
        <w:t>加强与世界滨海旅游城市的文旅交流，推动与万宁国际友好城市、东南亚国家等在文化旅游商务方面开展合作。积极参加国际上重要的文化节、博览会、展览等文旅交流活动，组织企业赴东盟开展精准对接，支持在万宁举办中国—东盟热带农业论坛、RCEP青年侨商峰会等活动，提升区域合作能见度和影响力。</w:t>
      </w:r>
    </w:p>
    <w:p w14:paraId="0057DE18">
      <w:pPr>
        <w:rPr>
          <w:rFonts w:hint="default" w:cs="Times New Roman"/>
          <w:highlight w:val="yellow"/>
          <w:lang w:val="en-US" w:eastAsia="zh-CN"/>
        </w:rPr>
      </w:pPr>
      <w:r>
        <w:rPr>
          <w:rFonts w:hint="default" w:cs="Times New Roman"/>
          <w:highlight w:val="yellow"/>
          <w:lang w:val="en-US" w:eastAsia="zh-CN"/>
        </w:rPr>
        <w:br w:type="page"/>
      </w:r>
    </w:p>
    <w:p w14:paraId="5B283B10">
      <w:pPr>
        <w:pStyle w:val="2"/>
        <w:shd w:val="clear"/>
        <w:spacing w:after="62"/>
        <w:ind w:firstLine="0" w:firstLineChars="0"/>
        <w:jc w:val="center"/>
        <w:rPr>
          <w:rFonts w:hint="eastAsia"/>
          <w:b w:val="0"/>
          <w:bCs/>
          <w:color w:val="auto"/>
          <w:sz w:val="36"/>
          <w:szCs w:val="48"/>
          <w:highlight w:val="none"/>
        </w:rPr>
      </w:pPr>
      <w:bookmarkStart w:id="179" w:name="_Toc32192"/>
      <w:bookmarkStart w:id="180" w:name="_Toc11397"/>
      <w:bookmarkStart w:id="181" w:name="_Toc24052"/>
      <w:r>
        <w:rPr>
          <w:rFonts w:hint="eastAsia"/>
          <w:b w:val="0"/>
          <w:bCs/>
          <w:color w:val="auto"/>
          <w:sz w:val="36"/>
          <w:szCs w:val="48"/>
          <w:highlight w:val="none"/>
        </w:rPr>
        <w:t>第八章 推进行业治理现代化</w:t>
      </w:r>
      <w:bookmarkEnd w:id="179"/>
      <w:bookmarkEnd w:id="180"/>
      <w:bookmarkEnd w:id="181"/>
    </w:p>
    <w:p w14:paraId="32A7622D">
      <w:pPr>
        <w:pStyle w:val="3"/>
        <w:shd w:val="clear"/>
        <w:spacing w:before="62" w:after="93"/>
        <w:ind w:firstLine="643"/>
        <w:jc w:val="left"/>
        <w:rPr>
          <w:rFonts w:hint="eastAsia"/>
          <w:b w:val="0"/>
          <w:bCs/>
          <w:color w:val="auto"/>
          <w:highlight w:val="none"/>
          <w:lang w:val="en-US" w:eastAsia="zh-CN"/>
        </w:rPr>
      </w:pPr>
      <w:bookmarkStart w:id="182" w:name="_Toc12724"/>
      <w:bookmarkStart w:id="183" w:name="_Toc20155"/>
      <w:bookmarkStart w:id="184" w:name="_Toc19828"/>
      <w:r>
        <w:rPr>
          <w:rFonts w:hint="eastAsia"/>
          <w:b w:val="0"/>
          <w:bCs/>
          <w:color w:val="auto"/>
          <w:highlight w:val="none"/>
          <w:lang w:val="en-US" w:eastAsia="zh-CN"/>
        </w:rPr>
        <w:t>一、构建一流营商环境</w:t>
      </w:r>
      <w:bookmarkEnd w:id="182"/>
      <w:bookmarkEnd w:id="183"/>
      <w:bookmarkEnd w:id="184"/>
    </w:p>
    <w:p w14:paraId="66605B3B">
      <w:pPr>
        <w:rPr>
          <w:rFonts w:hint="eastAsia"/>
          <w:lang w:val="en-US" w:eastAsia="zh-CN"/>
        </w:rPr>
      </w:pPr>
      <w:r>
        <w:rPr>
          <w:rFonts w:hint="eastAsia"/>
        </w:rPr>
        <w:t>深化“放管服”改革，推进政务服务标准化、规范化、便利化。深化行政审批备案制度改革，完善旅文</w:t>
      </w:r>
      <w:r>
        <w:rPr>
          <w:rFonts w:hint="eastAsia"/>
          <w:lang w:val="en-US" w:eastAsia="zh-CN"/>
        </w:rPr>
        <w:t>体</w:t>
      </w:r>
      <w:r>
        <w:rPr>
          <w:rFonts w:hint="eastAsia"/>
        </w:rPr>
        <w:t>市场准入负面清单管理，扩大“告知承诺容缺办理”范围。深入推进“互联网+政务服务”，高效推进办事全流程闭环，精准实时对接、实时共享事项办理全过程信息。加大旅游招商引资力度，出台优惠政策，吸引国内外创新型旅游项目落户万宁。完善旅游基础设施配套，提高旅游承载能力，营造有利于旅游业高质量发展的优质环境。</w:t>
      </w:r>
    </w:p>
    <w:p w14:paraId="0C2A9CB6">
      <w:pPr>
        <w:pStyle w:val="3"/>
        <w:shd w:val="clear"/>
        <w:spacing w:before="62" w:after="93"/>
        <w:ind w:firstLine="643"/>
        <w:jc w:val="left"/>
        <w:rPr>
          <w:rFonts w:hint="eastAsia"/>
          <w:b w:val="0"/>
          <w:bCs/>
          <w:color w:val="auto"/>
          <w:highlight w:val="none"/>
          <w:lang w:val="en-US" w:eastAsia="zh-CN"/>
        </w:rPr>
      </w:pPr>
      <w:bookmarkStart w:id="185" w:name="_Toc18646"/>
      <w:bookmarkStart w:id="186" w:name="_Toc11567"/>
      <w:bookmarkStart w:id="187" w:name="_Toc10819"/>
      <w:r>
        <w:rPr>
          <w:rFonts w:hint="eastAsia"/>
          <w:b w:val="0"/>
          <w:bCs/>
          <w:color w:val="auto"/>
          <w:highlight w:val="none"/>
          <w:lang w:val="en-US" w:eastAsia="zh-CN"/>
        </w:rPr>
        <w:t>二、净化优化消费环境</w:t>
      </w:r>
      <w:bookmarkEnd w:id="185"/>
      <w:bookmarkEnd w:id="186"/>
      <w:bookmarkEnd w:id="187"/>
    </w:p>
    <w:p w14:paraId="5882C873">
      <w:pPr>
        <w:rPr>
          <w:rFonts w:hint="eastAsia"/>
          <w:lang w:val="en-US" w:eastAsia="zh-CN"/>
        </w:rPr>
      </w:pPr>
      <w:r>
        <w:rPr>
          <w:rFonts w:hint="eastAsia"/>
          <w:b/>
          <w:bCs/>
          <w:lang w:val="en-US" w:eastAsia="zh-CN"/>
        </w:rPr>
        <w:t>深化旅游诚信体系建设。</w:t>
      </w:r>
      <w:r>
        <w:rPr>
          <w:rFonts w:hint="eastAsia"/>
          <w:lang w:val="en-US" w:eastAsia="zh-CN"/>
        </w:rPr>
        <w:t>运用“放心消费在海南”“海南放心游”平台深入推进“三个一”（一户一码、一秤一员、一业一标）+云监管+“红黄牌”信用监管模式在涉旅领域全覆盖。开展涉旅行业信用分级分类监管，推进涉旅经营主体“红黑榜”和失信主体认定。</w:t>
      </w:r>
    </w:p>
    <w:p w14:paraId="6BAFC84A">
      <w:pPr>
        <w:rPr>
          <w:rFonts w:hint="eastAsia"/>
        </w:rPr>
      </w:pPr>
      <w:r>
        <w:rPr>
          <w:rFonts w:hint="eastAsia"/>
          <w:b/>
          <w:bCs/>
        </w:rPr>
        <w:t>规范旅行社经营行为。</w:t>
      </w:r>
      <w:r>
        <w:rPr>
          <w:rFonts w:hint="eastAsia"/>
        </w:rPr>
        <w:t>持续</w:t>
      </w:r>
      <w:r>
        <w:rPr>
          <w:rFonts w:hint="eastAsia"/>
          <w:lang w:eastAsia="zh-CN"/>
        </w:rPr>
        <w:t>深入开展</w:t>
      </w:r>
      <w:r>
        <w:rPr>
          <w:rFonts w:hint="eastAsia"/>
        </w:rPr>
        <w:t>旅游领域违法违规行为整治，对未经许可经营旅行社业务、包厢购物、算命购物、问诊购物、强迫消费、欺客宰客、“黑社”“黑导游”等旅游乱象开展“清零”行动；查处一批严重扰乱市场秩序的违法违规行为，定期发布整治旅游市场秩序的典型案例，支持媒体曝光一批影响行业形象的旅游企业和从业人员。</w:t>
      </w:r>
    </w:p>
    <w:p w14:paraId="5D911FC8">
      <w:pPr>
        <w:rPr>
          <w:rFonts w:hint="eastAsia"/>
        </w:rPr>
      </w:pPr>
      <w:r>
        <w:rPr>
          <w:rFonts w:hint="eastAsia"/>
          <w:b/>
          <w:bCs/>
        </w:rPr>
        <w:t>加强淡旺季旅游市场价格监管。</w:t>
      </w:r>
      <w:r>
        <w:rPr>
          <w:rFonts w:hint="eastAsia"/>
        </w:rPr>
        <w:t>加大春节、国庆等重要节假日旅游市场价格监管力度，避免酒店、餐饮等行业价格无序上涨。酒店客房价格在主要节假日、重大活动期间，依法实行政府指导价管理；旅游经营主体提供的服务要质价相符。建立价格监测机制，对旅游市场价格实时监测，发现异常及时干预。价格主管部门在旅游旺季期间严厉打击不明码标价、价格欺诈等违法行为。</w:t>
      </w:r>
    </w:p>
    <w:p w14:paraId="43D79F18">
      <w:pPr>
        <w:rPr>
          <w:rFonts w:hint="eastAsia"/>
        </w:rPr>
      </w:pPr>
      <w:r>
        <w:rPr>
          <w:rFonts w:hint="eastAsia"/>
          <w:b/>
          <w:bCs/>
        </w:rPr>
        <w:t>大力整治各湾区水上运动消费市场。</w:t>
      </w:r>
      <w:r>
        <w:rPr>
          <w:rFonts w:hint="eastAsia"/>
          <w:lang w:val="en-US" w:eastAsia="zh-CN"/>
        </w:rPr>
        <w:t>落实</w:t>
      </w:r>
      <w:r>
        <w:rPr>
          <w:rFonts w:hint="eastAsia"/>
        </w:rPr>
        <w:t>《海南省潜水经营管理办法》</w:t>
      </w:r>
      <w:r>
        <w:rPr>
          <w:rFonts w:hint="eastAsia"/>
          <w:lang w:eastAsia="zh-CN"/>
        </w:rPr>
        <w:t>，</w:t>
      </w:r>
      <w:r>
        <w:rPr>
          <w:rFonts w:hint="eastAsia"/>
        </w:rPr>
        <w:t>重点整治“黑潜水点”“黑冲浪点”“黑经营摩托艇点”等水上运动消费市场。加大对日月湾、神州半岛、燕子洞等重点海湾景区的管理整治力度，加强</w:t>
      </w:r>
      <w:r>
        <w:rPr>
          <w:rFonts w:hint="eastAsia"/>
          <w:lang w:val="en-US" w:eastAsia="zh-CN"/>
        </w:rPr>
        <w:t>与</w:t>
      </w:r>
      <w:r>
        <w:rPr>
          <w:rFonts w:hint="eastAsia"/>
        </w:rPr>
        <w:t>公安、市场监管等部门的协调联动，建立协同工作机制，确保整治措施落实到位，提升综合管理水平。严厉打击强买强卖、无资质经营潜水业务、无资质经营冲浪业务、诱导或强迫游客二次消费、非法拉客等违法违规行为；</w:t>
      </w:r>
      <w:r>
        <w:rPr>
          <w:rFonts w:hint="eastAsia"/>
          <w:lang w:eastAsia="zh-CN"/>
        </w:rPr>
        <w:t>开展</w:t>
      </w:r>
      <w:r>
        <w:rPr>
          <w:rFonts w:hint="eastAsia"/>
        </w:rPr>
        <w:t>加井岛、洲仔岛、大洲岛等海域珊瑚礁保护区内潜水活动</w:t>
      </w:r>
      <w:r>
        <w:rPr>
          <w:rFonts w:hint="eastAsia"/>
          <w:lang w:eastAsia="zh-CN"/>
        </w:rPr>
        <w:t>的常态</w:t>
      </w:r>
      <w:r>
        <w:rPr>
          <w:rFonts w:hint="eastAsia"/>
        </w:rPr>
        <w:t>化监管；利用无人机、电子围栏、监控设备等科技手段加强执法监测。</w:t>
      </w:r>
    </w:p>
    <w:p w14:paraId="148F98B6">
      <w:pPr>
        <w:ind w:firstLine="640"/>
        <w:rPr>
          <w:rFonts w:hint="eastAsia"/>
          <w:lang w:val="en-US" w:eastAsia="zh-CN"/>
        </w:rPr>
      </w:pPr>
      <w:r>
        <w:rPr>
          <w:rFonts w:hint="eastAsia"/>
          <w:b/>
          <w:bCs/>
        </w:rPr>
        <w:t>提升涉旅投诉</w:t>
      </w:r>
      <w:r>
        <w:rPr>
          <w:rFonts w:hint="eastAsia"/>
          <w:b/>
          <w:bCs/>
          <w:lang w:val="en-US" w:eastAsia="zh-CN"/>
        </w:rPr>
        <w:t>与</w:t>
      </w:r>
      <w:r>
        <w:rPr>
          <w:rFonts w:hint="eastAsia"/>
          <w:b/>
          <w:bCs/>
        </w:rPr>
        <w:t>舆情处置效能。</w:t>
      </w:r>
      <w:r>
        <w:rPr>
          <w:rFonts w:hint="eastAsia"/>
        </w:rPr>
        <w:t>健全旅游投诉快处及评价机制，依托12345热线、海南放心游平台提升纠纷化解效率，完善“诉转案”及行刑衔接机制打击涉旅违法，发布典型案例保障游客权益；建立分级分类涉旅舆情处置机制，落实省联动要求强化省市部门协同，健全督办</w:t>
      </w:r>
      <w:r>
        <w:rPr>
          <w:rFonts w:hint="eastAsia"/>
          <w:lang w:eastAsia="zh-CN"/>
        </w:rPr>
        <w:t>问责制度，</w:t>
      </w:r>
      <w:r>
        <w:rPr>
          <w:rFonts w:hint="eastAsia"/>
        </w:rPr>
        <w:t>压实经营主体、属地管理责任，由市主要领导牵头的领导小组统筹舆情处置，开展涉旅不实信息专项整治，联动主流媒体宣传行业亮点、树立良好旅游形象。</w:t>
      </w:r>
    </w:p>
    <w:p w14:paraId="73405701">
      <w:pPr>
        <w:pStyle w:val="3"/>
        <w:shd w:val="clear"/>
        <w:spacing w:before="62" w:after="93"/>
        <w:ind w:firstLine="643"/>
        <w:jc w:val="left"/>
        <w:rPr>
          <w:rFonts w:hint="eastAsia"/>
          <w:b w:val="0"/>
          <w:bCs/>
          <w:color w:val="auto"/>
          <w:highlight w:val="none"/>
          <w:lang w:val="en-US" w:eastAsia="zh-CN"/>
        </w:rPr>
      </w:pPr>
      <w:bookmarkStart w:id="188" w:name="_Toc8290"/>
      <w:bookmarkStart w:id="189" w:name="_Toc15234"/>
      <w:bookmarkStart w:id="190" w:name="_Toc8085"/>
      <w:r>
        <w:rPr>
          <w:rFonts w:hint="eastAsia"/>
          <w:b w:val="0"/>
          <w:bCs/>
          <w:color w:val="auto"/>
          <w:highlight w:val="none"/>
          <w:lang w:val="en-US" w:eastAsia="zh-CN"/>
        </w:rPr>
        <w:t>三、协同多元行业治理</w:t>
      </w:r>
      <w:bookmarkEnd w:id="188"/>
      <w:bookmarkEnd w:id="189"/>
      <w:bookmarkEnd w:id="190"/>
    </w:p>
    <w:p w14:paraId="3764E3A5">
      <w:pPr>
        <w:widowControl w:val="0"/>
        <w:spacing w:before="0" w:beforeAutospacing="0" w:after="0" w:afterAutospacing="0"/>
        <w:ind w:firstLineChars="200"/>
        <w:jc w:val="both"/>
        <w:rPr>
          <w:rFonts w:hint="eastAsia" w:ascii="仿宋_GB2312" w:hAnsi="仿宋_GB2312" w:eastAsia="仿宋_GB2312" w:cs="Times New Roman"/>
          <w:kern w:val="2"/>
          <w:sz w:val="32"/>
          <w:szCs w:val="24"/>
          <w:lang w:bidi="ar-SA"/>
        </w:rPr>
      </w:pPr>
      <w:r>
        <w:rPr>
          <w:rFonts w:hint="eastAsia" w:ascii="仿宋_GB2312" w:hAnsi="仿宋_GB2312" w:eastAsia="仿宋_GB2312" w:cs="Times New Roman"/>
          <w:b/>
          <w:bCs/>
          <w:kern w:val="2"/>
          <w:sz w:val="32"/>
          <w:szCs w:val="24"/>
        </w:rPr>
        <w:t>构建多跨协同的</w:t>
      </w:r>
      <w:r>
        <w:rPr>
          <w:rFonts w:hint="eastAsia" w:cs="Times New Roman"/>
          <w:b/>
          <w:bCs/>
          <w:kern w:val="2"/>
          <w:sz w:val="32"/>
          <w:szCs w:val="24"/>
          <w:lang w:val="en-US" w:eastAsia="zh-CN"/>
        </w:rPr>
        <w:t>行业治理</w:t>
      </w:r>
      <w:r>
        <w:rPr>
          <w:rFonts w:hint="eastAsia" w:ascii="仿宋_GB2312" w:hAnsi="仿宋_GB2312" w:eastAsia="仿宋_GB2312" w:cs="Times New Roman"/>
          <w:b/>
          <w:bCs/>
          <w:kern w:val="2"/>
          <w:sz w:val="32"/>
          <w:szCs w:val="24"/>
        </w:rPr>
        <w:t>体系。</w:t>
      </w:r>
      <w:r>
        <w:rPr>
          <w:rFonts w:hint="eastAsia" w:ascii="仿宋_GB2312" w:hAnsi="仿宋_GB2312" w:eastAsia="仿宋_GB2312" w:cs="Times New Roman"/>
          <w:kern w:val="2"/>
          <w:sz w:val="32"/>
          <w:szCs w:val="24"/>
          <w:lang w:bidi="ar-SA"/>
        </w:rPr>
        <w:t>统筹发展与安全，构建公安、应急、消防、交通、自然资源和规划、市场监管、旅游文化体育等多部门协同的行业治理体系。强化部门协调联动，定期组织形势分析研判，联合开展旅游市场专项整治，依法查处“不合理低价游”等违法违规行为。建立覆盖文体场馆、旅游景区、星级酒店、赛事活动的应急管理机制，明确各方职责，提升突发事件的前置预防和应急处置能力。</w:t>
      </w:r>
    </w:p>
    <w:p w14:paraId="17FE88EC">
      <w:pPr>
        <w:ind w:firstLine="640"/>
        <w:rPr>
          <w:rFonts w:hint="eastAsia"/>
          <w:lang w:val="en-US" w:eastAsia="zh-CN"/>
        </w:rPr>
      </w:pPr>
      <w:r>
        <w:rPr>
          <w:rFonts w:hint="eastAsia"/>
          <w:b/>
          <w:bCs/>
        </w:rPr>
        <w:t>深化“互联网+监管”智慧赋能。</w:t>
      </w:r>
      <w:r>
        <w:rPr>
          <w:rFonts w:hint="eastAsia"/>
        </w:rPr>
        <w:t>充分运用大数据、人工智能、物联网等技术手段，实现对重点景区、场馆客流数据的实时监测、安全风险的智能预警和应急资源的智慧调度。优化升级区级应急广播体系，强化与应急、卫健、公安等部门的系统对接和信息共享，确保关键时刻“用得上、喊得响”。</w:t>
      </w:r>
    </w:p>
    <w:p w14:paraId="48182031">
      <w:pPr>
        <w:ind w:firstLine="640"/>
        <w:rPr>
          <w:rFonts w:hint="eastAsia" w:ascii="仿宋_GB2312" w:hAnsi="仿宋_GB2312" w:eastAsia="仿宋_GB2312" w:cs="Times New Roman"/>
          <w:kern w:val="2"/>
          <w:sz w:val="32"/>
          <w:szCs w:val="24"/>
          <w:lang w:val="en-US" w:eastAsia="zh-CN"/>
        </w:rPr>
      </w:pPr>
      <w:r>
        <w:rPr>
          <w:rFonts w:hint="eastAsia" w:ascii="仿宋_GB2312" w:hAnsi="仿宋_GB2312" w:eastAsia="仿宋_GB2312" w:cs="Times New Roman"/>
          <w:b/>
          <w:bCs/>
          <w:kern w:val="2"/>
          <w:sz w:val="32"/>
          <w:szCs w:val="24"/>
          <w:lang w:val="en-US" w:eastAsia="zh-CN"/>
        </w:rPr>
        <w:t>发挥社会协同治理效能。</w:t>
      </w:r>
      <w:r>
        <w:rPr>
          <w:rFonts w:hint="eastAsia" w:ascii="仿宋_GB2312" w:hAnsi="仿宋_GB2312" w:eastAsia="仿宋_GB2312" w:cs="Times New Roman"/>
          <w:kern w:val="2"/>
          <w:sz w:val="32"/>
          <w:szCs w:val="24"/>
          <w:highlight w:val="none"/>
          <w:lang w:val="en-US" w:eastAsia="zh-CN"/>
        </w:rPr>
        <w:t>深入推进旅游行业组织赋</w:t>
      </w:r>
      <w:r>
        <w:rPr>
          <w:rFonts w:hint="eastAsia" w:ascii="仿宋_GB2312" w:hAnsi="仿宋_GB2312" w:eastAsia="仿宋_GB2312" w:cs="Times New Roman"/>
          <w:kern w:val="2"/>
          <w:sz w:val="32"/>
          <w:szCs w:val="24"/>
          <w:lang w:val="en-US" w:eastAsia="zh-CN"/>
        </w:rPr>
        <w:t>权赋能，将等级评定、培训、招商引资、宣传营销等工作逐步委托行业组织开展，发挥市旅游促进会、市水上运动协会在服务质量、风险管理、招商引资、宣传营销、教育培训、品牌维护等方面的职能作用。成立旅文行业志愿者服务队伍，常态化开展旅游咨询、法律咨询、引导帮助等志愿服务。</w:t>
      </w:r>
    </w:p>
    <w:p w14:paraId="18478446">
      <w:pPr>
        <w:ind w:firstLine="643"/>
        <w:rPr>
          <w:rFonts w:hint="eastAsia" w:ascii="仿宋_GB2312" w:hAnsi="仿宋_GB2312" w:eastAsia="仿宋_GB2312" w:cs="仿宋_GB2312"/>
          <w:kern w:val="0"/>
          <w:sz w:val="32"/>
          <w:szCs w:val="32"/>
          <w:lang w:val="en-US" w:eastAsia="zh-CN"/>
        </w:rPr>
      </w:pPr>
      <w:r>
        <w:rPr>
          <w:rFonts w:hint="eastAsia" w:ascii="仿宋_GB2312" w:hAnsi="仿宋_GB2312" w:eastAsia="仿宋_GB2312" w:cs="Times New Roman"/>
          <w:b/>
          <w:bCs/>
          <w:kern w:val="2"/>
          <w:sz w:val="32"/>
          <w:szCs w:val="24"/>
        </w:rPr>
        <w:t>优化突发事件应急响应流程。</w:t>
      </w:r>
      <w:r>
        <w:rPr>
          <w:rFonts w:hint="eastAsia" w:ascii="仿宋_GB2312" w:hAnsi="仿宋_GB2312" w:eastAsia="仿宋_GB2312" w:cs="Times New Roman"/>
          <w:kern w:val="2"/>
          <w:sz w:val="32"/>
          <w:szCs w:val="24"/>
          <w:lang w:bidi="ar"/>
        </w:rPr>
        <w:t>健全分类管理、分级负责、属地为主的应急管理体制，优化突发事件应急响应体系。加强对节假日、汛期等重点时段，大型游乐设施、缆车索道等重要设施设备，以及</w:t>
      </w:r>
      <w:r>
        <w:rPr>
          <w:rFonts w:hint="eastAsia" w:ascii="仿宋_GB2312" w:hAnsi="仿宋_GB2312" w:eastAsia="仿宋_GB2312" w:cs="Times New Roman"/>
          <w:color w:val="auto"/>
          <w:kern w:val="2"/>
          <w:sz w:val="32"/>
          <w:szCs w:val="24"/>
          <w:lang w:bidi="ar"/>
        </w:rPr>
        <w:t>重大文旅活动</w:t>
      </w:r>
      <w:r>
        <w:rPr>
          <w:rFonts w:hint="eastAsia" w:ascii="仿宋_GB2312" w:hAnsi="仿宋_GB2312" w:eastAsia="仿宋_GB2312" w:cs="Times New Roman"/>
          <w:kern w:val="2"/>
          <w:sz w:val="32"/>
          <w:szCs w:val="24"/>
          <w:lang w:bidi="ar"/>
        </w:rPr>
        <w:t>、重大体育赛事活动的安全监管和风险排查，</w:t>
      </w:r>
      <w:r>
        <w:rPr>
          <w:rFonts w:hint="eastAsia" w:ascii="仿宋_GB2312" w:hAnsi="仿宋_GB2312" w:eastAsia="仿宋_GB2312" w:cs="Times New Roman"/>
          <w:color w:val="auto"/>
          <w:kern w:val="2"/>
          <w:sz w:val="32"/>
          <w:szCs w:val="24"/>
          <w:lang w:bidi="ar"/>
        </w:rPr>
        <w:t>全力确保人民群众生命和财产安全</w:t>
      </w:r>
      <w:r>
        <w:rPr>
          <w:rFonts w:hint="eastAsia" w:ascii="仿宋_GB2312" w:hAnsi="仿宋_GB2312" w:eastAsia="仿宋_GB2312" w:cs="Times New Roman"/>
          <w:kern w:val="2"/>
          <w:sz w:val="32"/>
          <w:szCs w:val="24"/>
          <w:lang w:bidi="ar"/>
        </w:rPr>
        <w:t>。</w:t>
      </w:r>
    </w:p>
    <w:p w14:paraId="222EAA08">
      <w:pPr>
        <w:pStyle w:val="3"/>
        <w:spacing w:before="62" w:beforeLines="50" w:after="93"/>
        <w:ind w:firstLine="643"/>
        <w:jc w:val="left"/>
        <w:rPr>
          <w:rFonts w:hint="eastAsia" w:eastAsia="黑体"/>
          <w:b w:val="0"/>
          <w:bCs/>
          <w:color w:val="auto"/>
          <w:highlight w:val="none"/>
        </w:rPr>
      </w:pPr>
      <w:bookmarkStart w:id="191" w:name="_Toc11379"/>
      <w:bookmarkStart w:id="192" w:name="_Toc1686"/>
      <w:r>
        <w:rPr>
          <w:rFonts w:hint="eastAsia"/>
          <w:b w:val="0"/>
          <w:bCs/>
          <w:color w:val="auto"/>
          <w:highlight w:val="none"/>
          <w:lang w:eastAsia="zh-CN"/>
        </w:rPr>
        <w:t>四、</w:t>
      </w:r>
      <w:r>
        <w:rPr>
          <w:rFonts w:hint="eastAsia" w:eastAsia="黑体"/>
          <w:b w:val="0"/>
          <w:bCs/>
          <w:color w:val="auto"/>
          <w:highlight w:val="none"/>
        </w:rPr>
        <w:t>推进行业文明建设</w:t>
      </w:r>
      <w:bookmarkEnd w:id="191"/>
      <w:bookmarkEnd w:id="192"/>
    </w:p>
    <w:p w14:paraId="0E4678DB">
      <w:pPr>
        <w:widowControl w:val="0"/>
        <w:spacing w:before="0" w:beforeAutospacing="0" w:after="0" w:afterAutospacing="0"/>
        <w:ind w:firstLineChars="200"/>
        <w:jc w:val="both"/>
        <w:rPr>
          <w:rFonts w:hint="eastAsia" w:ascii="仿宋_GB2312" w:hAnsi="仿宋_GB2312" w:eastAsia="仿宋_GB2312" w:cs="Times New Roman"/>
          <w:b w:val="0"/>
          <w:bCs w:val="0"/>
          <w:kern w:val="2"/>
          <w:sz w:val="32"/>
          <w:szCs w:val="24"/>
          <w:lang w:bidi="ar"/>
        </w:rPr>
      </w:pPr>
      <w:r>
        <w:rPr>
          <w:rFonts w:hint="eastAsia" w:ascii="仿宋_GB2312" w:hAnsi="仿宋_GB2312" w:eastAsia="仿宋_GB2312" w:cs="Times New Roman"/>
          <w:b/>
          <w:bCs/>
          <w:kern w:val="2"/>
          <w:sz w:val="32"/>
          <w:szCs w:val="24"/>
        </w:rPr>
        <w:t>提升游客文明素养。</w:t>
      </w:r>
      <w:r>
        <w:rPr>
          <w:rFonts w:hint="eastAsia" w:ascii="仿宋_GB2312" w:hAnsi="仿宋_GB2312" w:eastAsia="仿宋_GB2312" w:cs="Times New Roman"/>
          <w:b w:val="0"/>
          <w:bCs w:val="0"/>
          <w:kern w:val="2"/>
          <w:sz w:val="32"/>
          <w:szCs w:val="24"/>
          <w:lang w:bidi="ar"/>
        </w:rPr>
        <w:t>构建线上线下全覆盖的文明旅游宣传体系。线下在景区、交通枢纽、文旅场馆显著位置设置文明标识与宣传展区；线上通过官方平台及新媒体矩阵持续普及文明公约与地方民俗禁忌。结合品牌活动开展主题宣传，提升传播影响力。健全旅游不文明行为记录管理制度，依法依规处置严重不文明行为，探索实施“文明游客”激励举措，引导游客自觉遵守规范。</w:t>
      </w:r>
    </w:p>
    <w:p w14:paraId="2431D83B">
      <w:pPr>
        <w:widowControl w:val="0"/>
        <w:spacing w:before="0" w:beforeAutospacing="0" w:after="0" w:afterAutospacing="0"/>
        <w:ind w:firstLineChars="200"/>
        <w:jc w:val="both"/>
        <w:rPr>
          <w:rFonts w:hint="eastAsia" w:ascii="仿宋_GB2312" w:hAnsi="仿宋_GB2312" w:eastAsia="仿宋_GB2312" w:cs="Times New Roman"/>
          <w:b w:val="0"/>
          <w:bCs w:val="0"/>
          <w:kern w:val="2"/>
          <w:sz w:val="32"/>
          <w:szCs w:val="24"/>
          <w:lang w:bidi="ar"/>
        </w:rPr>
      </w:pPr>
      <w:r>
        <w:rPr>
          <w:rFonts w:hint="eastAsia" w:ascii="仿宋_GB2312" w:hAnsi="仿宋_GB2312" w:eastAsia="仿宋_GB2312" w:cs="Times New Roman"/>
          <w:b/>
          <w:bCs/>
          <w:kern w:val="2"/>
          <w:sz w:val="32"/>
          <w:szCs w:val="24"/>
        </w:rPr>
        <w:t>提升从业者文明服务水平。</w:t>
      </w:r>
      <w:r>
        <w:rPr>
          <w:rFonts w:hint="eastAsia" w:ascii="仿宋_GB2312" w:hAnsi="仿宋_GB2312" w:eastAsia="仿宋_GB2312" w:cs="Times New Roman"/>
          <w:b w:val="0"/>
          <w:bCs w:val="0"/>
          <w:kern w:val="2"/>
          <w:sz w:val="32"/>
          <w:szCs w:val="24"/>
          <w:lang w:bidi="ar"/>
        </w:rPr>
        <w:t>推动旅文体行业服务标准化建设，制定涵盖餐饮、住宿、导游、景区运营、赛事等领域的文明服务细则，统一服务流程、礼仪规范及评价标准。加强常态化培训，将文明服务、职业道德、应急处置及民俗文化纳入年度培训体系。制定文旅行业文明建设实施细则与考评办法，将文明建设成效纳入企业星级评定、项目审批及政策支持的评价体系，增强制度约束力。</w:t>
      </w:r>
    </w:p>
    <w:p w14:paraId="4E0FADDF">
      <w:pPr>
        <w:ind w:firstLine="640"/>
        <w:rPr>
          <w:rFonts w:hint="eastAsia"/>
          <w:b w:val="0"/>
          <w:bCs w:val="0"/>
          <w:lang w:val="en-US" w:eastAsia="zh-CN"/>
        </w:rPr>
      </w:pPr>
      <w:r>
        <w:rPr>
          <w:rFonts w:hint="eastAsia" w:ascii="仿宋_GB2312" w:hAnsi="仿宋_GB2312" w:eastAsia="仿宋_GB2312" w:cs="Times New Roman"/>
          <w:b/>
          <w:bCs/>
          <w:kern w:val="2"/>
          <w:sz w:val="32"/>
          <w:szCs w:val="24"/>
        </w:rPr>
        <w:t>打造文明旅游示范体系。</w:t>
      </w:r>
      <w:r>
        <w:rPr>
          <w:rFonts w:hint="eastAsia" w:ascii="仿宋_GB2312" w:hAnsi="仿宋_GB2312" w:eastAsia="仿宋_GB2312" w:cs="Times New Roman"/>
          <w:b w:val="0"/>
          <w:bCs w:val="0"/>
          <w:kern w:val="2"/>
          <w:sz w:val="32"/>
          <w:szCs w:val="24"/>
          <w:lang w:bidi="ar"/>
        </w:rPr>
        <w:t>积极推进辖区内景区、星级饭店、旅行社、公共文化场馆等基层单元开展文明示范创建活动。培育一批具有</w:t>
      </w:r>
      <w:r>
        <w:rPr>
          <w:rFonts w:hint="eastAsia" w:ascii="仿宋_GB2312" w:hAnsi="仿宋_GB2312" w:eastAsia="仿宋_GB2312" w:cs="Times New Roman"/>
          <w:b w:val="0"/>
          <w:bCs w:val="0"/>
          <w:kern w:val="2"/>
          <w:sz w:val="32"/>
          <w:szCs w:val="24"/>
          <w:lang w:val="en-US" w:eastAsia="zh-CN" w:bidi="ar"/>
        </w:rPr>
        <w:t>万宁</w:t>
      </w:r>
      <w:r>
        <w:rPr>
          <w:rFonts w:hint="eastAsia" w:ascii="仿宋_GB2312" w:hAnsi="仿宋_GB2312" w:eastAsia="仿宋_GB2312" w:cs="Times New Roman"/>
          <w:b w:val="0"/>
          <w:bCs w:val="0"/>
          <w:kern w:val="2"/>
          <w:sz w:val="32"/>
          <w:szCs w:val="24"/>
          <w:lang w:bidi="ar"/>
        </w:rPr>
        <w:t>辨识度的文明旅游标杆项目和示范单位，总结形成可复制、可推广的建设模式，以点带面，推动全行业文明水平整体跃升。</w:t>
      </w:r>
    </w:p>
    <w:p w14:paraId="4066B4ED">
      <w:pPr>
        <w:rPr>
          <w:rFonts w:hint="eastAsia"/>
          <w:lang w:val="en-US" w:eastAsia="zh-CN"/>
        </w:rPr>
      </w:pPr>
      <w:r>
        <w:rPr>
          <w:rFonts w:hint="eastAsia"/>
          <w:lang w:val="en-US" w:eastAsia="zh-CN"/>
        </w:rPr>
        <w:br w:type="page"/>
      </w:r>
    </w:p>
    <w:p w14:paraId="3337B653">
      <w:pPr>
        <w:pStyle w:val="2"/>
        <w:shd w:val="clear"/>
        <w:spacing w:after="62"/>
        <w:ind w:firstLine="0" w:firstLineChars="0"/>
        <w:jc w:val="center"/>
        <w:rPr>
          <w:rFonts w:hint="eastAsia"/>
          <w:b w:val="0"/>
          <w:bCs/>
          <w:color w:val="auto"/>
          <w:sz w:val="36"/>
          <w:szCs w:val="48"/>
          <w:highlight w:val="none"/>
        </w:rPr>
      </w:pPr>
      <w:bookmarkStart w:id="193" w:name="_Toc11889"/>
      <w:bookmarkStart w:id="194" w:name="_Toc18451"/>
      <w:bookmarkStart w:id="195" w:name="_Toc4639"/>
      <w:r>
        <w:rPr>
          <w:rFonts w:hint="eastAsia"/>
          <w:b w:val="0"/>
          <w:bCs/>
          <w:color w:val="auto"/>
          <w:sz w:val="36"/>
          <w:szCs w:val="48"/>
          <w:highlight w:val="none"/>
        </w:rPr>
        <w:t>第九章 保障措施</w:t>
      </w:r>
      <w:bookmarkEnd w:id="193"/>
      <w:bookmarkEnd w:id="194"/>
      <w:bookmarkEnd w:id="195"/>
    </w:p>
    <w:p w14:paraId="6B04980A">
      <w:pPr>
        <w:pStyle w:val="3"/>
        <w:shd w:val="clear"/>
        <w:spacing w:before="62" w:after="93"/>
        <w:ind w:firstLine="643"/>
        <w:jc w:val="left"/>
        <w:rPr>
          <w:rFonts w:hint="eastAsia"/>
          <w:b w:val="0"/>
          <w:bCs/>
          <w:color w:val="auto"/>
          <w:highlight w:val="none"/>
          <w:lang w:val="en-US" w:eastAsia="zh-CN"/>
        </w:rPr>
      </w:pPr>
      <w:bookmarkStart w:id="196" w:name="_Toc26375"/>
      <w:bookmarkStart w:id="197" w:name="_Toc1277"/>
      <w:bookmarkStart w:id="198" w:name="_Toc18574"/>
      <w:r>
        <w:rPr>
          <w:rFonts w:hint="eastAsia"/>
          <w:b w:val="0"/>
          <w:bCs/>
          <w:color w:val="auto"/>
          <w:highlight w:val="none"/>
          <w:lang w:val="en-US" w:eastAsia="zh-CN"/>
        </w:rPr>
        <w:t>一、完善体制机制</w:t>
      </w:r>
      <w:bookmarkEnd w:id="196"/>
      <w:bookmarkEnd w:id="197"/>
      <w:bookmarkEnd w:id="198"/>
    </w:p>
    <w:p w14:paraId="0EF1E7EF">
      <w:pPr>
        <w:rPr>
          <w:rFonts w:hint="eastAsia"/>
          <w:lang w:val="en-US" w:eastAsia="zh-CN"/>
        </w:rPr>
      </w:pPr>
      <w:r>
        <w:rPr>
          <w:rFonts w:hint="eastAsia"/>
          <w:b w:val="0"/>
          <w:bCs w:val="0"/>
          <w:lang w:val="en-US" w:eastAsia="zh-CN"/>
        </w:rPr>
        <w:t>坚持党委统一领导，建立政府统筹实施、部门协同联动、社会广泛参与的工作机制，市旅文局牵头制定年度方案及任务清单，建立跨部门联席会议制度，统筹推进重大政策落地、重点项目实施与关键资源配置。</w:t>
      </w:r>
      <w:r>
        <w:rPr>
          <w:rFonts w:hint="eastAsia"/>
          <w:lang w:val="en-US" w:eastAsia="zh-CN"/>
        </w:rPr>
        <w:t>建立健全规划实施动态监测、定期评估与督导机制，确保各项目标任务有序推进、取得实效。针对低空旅游、游艇旅游、研学旅游、智慧体育等文旅体新业态，加强跨领域政策协同与制度创新，将文化产业数字化、文旅消费融合、赛事经济效应等纳入绩效评价体系，培育文旅增长新动能。</w:t>
      </w:r>
    </w:p>
    <w:p w14:paraId="232C202E">
      <w:pPr>
        <w:pStyle w:val="3"/>
        <w:shd w:val="clear"/>
        <w:spacing w:before="62" w:after="93"/>
        <w:ind w:firstLine="643"/>
        <w:jc w:val="left"/>
        <w:rPr>
          <w:rFonts w:hint="eastAsia"/>
          <w:b w:val="0"/>
          <w:bCs/>
          <w:color w:val="auto"/>
          <w:highlight w:val="none"/>
          <w:lang w:val="en-US" w:eastAsia="zh-CN"/>
        </w:rPr>
      </w:pPr>
      <w:bookmarkStart w:id="199" w:name="_Toc11436"/>
      <w:bookmarkStart w:id="200" w:name="_Toc19138"/>
      <w:bookmarkStart w:id="201" w:name="_Toc11249"/>
      <w:r>
        <w:rPr>
          <w:rFonts w:hint="eastAsia"/>
          <w:b w:val="0"/>
          <w:bCs/>
          <w:color w:val="auto"/>
          <w:highlight w:val="none"/>
          <w:lang w:val="en-US" w:eastAsia="zh-CN"/>
        </w:rPr>
        <w:t>二、加强安全保障</w:t>
      </w:r>
      <w:bookmarkEnd w:id="199"/>
      <w:bookmarkEnd w:id="200"/>
      <w:bookmarkEnd w:id="201"/>
    </w:p>
    <w:p w14:paraId="10E8B64E">
      <w:pPr>
        <w:rPr>
          <w:rFonts w:hint="eastAsia"/>
          <w:lang w:val="en-US" w:eastAsia="zh-CN"/>
        </w:rPr>
      </w:pPr>
      <w:r>
        <w:rPr>
          <w:rFonts w:hint="eastAsia"/>
          <w:lang w:val="en-US" w:eastAsia="zh-CN"/>
        </w:rPr>
        <w:t>积极宣贯并严格落实《海南省旅文行业重大风险隐患判定标准》《极端天气关闭旅游景区工作指引》等省安全管理文件精神。持续加大对旅游包车、景区接驳车、海上游览船等重点交通工具的监管力度。在游客易聚集的公共海域设立安全警示牌，通过推送安全提示短信、无人机巡逻等方式适时进行安全警示。针对环岛旅游公路万宁段的山区公路、临水临崖路段等高风险区域，加强安全风险提示和隐患排查，在游客易聚集的网红路段、事故多发路段设立“应急微站”，配备破窗器、灭火器等设备，培训导游、司机成为第一响应人。各涉旅场所严格落实消防设施、食品等安全管理，保障住宿、饮食安全，有条件的涉旅场所可申请设置医务室。</w:t>
      </w:r>
    </w:p>
    <w:p w14:paraId="4C7AB353">
      <w:pPr>
        <w:pStyle w:val="3"/>
        <w:shd w:val="clear"/>
        <w:spacing w:before="62" w:after="93"/>
        <w:ind w:firstLine="643"/>
        <w:jc w:val="left"/>
        <w:rPr>
          <w:rFonts w:hint="eastAsia"/>
          <w:b w:val="0"/>
          <w:bCs/>
          <w:color w:val="auto"/>
          <w:highlight w:val="none"/>
          <w:lang w:val="en-US" w:eastAsia="zh-CN"/>
        </w:rPr>
      </w:pPr>
      <w:bookmarkStart w:id="202" w:name="_Toc1892"/>
      <w:bookmarkStart w:id="203" w:name="_Toc21439"/>
      <w:bookmarkStart w:id="204" w:name="_Toc25815"/>
      <w:r>
        <w:rPr>
          <w:rFonts w:hint="eastAsia"/>
          <w:b w:val="0"/>
          <w:bCs/>
          <w:color w:val="auto"/>
          <w:highlight w:val="none"/>
          <w:lang w:val="en-US" w:eastAsia="zh-CN"/>
        </w:rPr>
        <w:t>三、拓展资金保障</w:t>
      </w:r>
      <w:bookmarkEnd w:id="202"/>
      <w:bookmarkEnd w:id="203"/>
    </w:p>
    <w:p w14:paraId="3213B846">
      <w:pPr>
        <w:rPr>
          <w:rFonts w:hint="eastAsia" w:cs="Times New Roman"/>
          <w:lang w:val="en-US" w:eastAsia="zh-CN"/>
        </w:rPr>
      </w:pPr>
      <w:r>
        <w:rPr>
          <w:rFonts w:hint="eastAsia" w:cs="Times New Roman"/>
          <w:lang w:val="en-US" w:eastAsia="zh-CN"/>
        </w:rPr>
        <w:t>健全政府投入与社会投入相结合的多元化资金投入机制，通过市场化运作，引入社会资本盘活工业遗存、闲置场馆等存量资产，通过业态重构、金融赋能、技术注入等手段，将静态资产转化为动态现金流，合理分配文旅产业发展扶持资金，用好“琼旅保贷”等各类金融优惠政策，切实推动文旅产业提质增效。建立以宣传效果为导向的激励机制，设立万宁文旅传播创新奖励，积极利用各级奖补政策，推动将文旅宣传人才培养专项经费纳入市、镇（乡）两级财政预算，有效支撑规划落地。</w:t>
      </w:r>
    </w:p>
    <w:p w14:paraId="5255551C">
      <w:pPr>
        <w:pStyle w:val="3"/>
        <w:shd w:val="clear"/>
        <w:spacing w:before="62" w:after="93"/>
        <w:ind w:firstLine="643"/>
        <w:jc w:val="left"/>
        <w:rPr>
          <w:rFonts w:hint="eastAsia" w:ascii="仿宋_GB2312" w:hAnsi="仿宋_GB2312" w:eastAsia="仿宋_GB2312" w:cs="Times New Roman"/>
          <w:bCs w:val="0"/>
          <w:kern w:val="2"/>
          <w:sz w:val="32"/>
          <w:szCs w:val="24"/>
          <w:lang w:val="en-US" w:eastAsia="zh-CN" w:bidi="ar-SA"/>
        </w:rPr>
      </w:pPr>
      <w:bookmarkStart w:id="205" w:name="_Toc18104"/>
      <w:bookmarkStart w:id="206" w:name="_Toc29797"/>
      <w:bookmarkStart w:id="207" w:name="_Toc29080"/>
      <w:r>
        <w:rPr>
          <w:rFonts w:hint="eastAsia"/>
          <w:b w:val="0"/>
          <w:bCs/>
          <w:color w:val="auto"/>
          <w:highlight w:val="none"/>
          <w:lang w:val="en-US" w:eastAsia="zh-CN"/>
        </w:rPr>
        <w:t>四、用地用海用空</w:t>
      </w:r>
      <w:bookmarkEnd w:id="205"/>
      <w:bookmarkEnd w:id="206"/>
      <w:bookmarkEnd w:id="207"/>
    </w:p>
    <w:p w14:paraId="2F4DD93D">
      <w:pPr>
        <w:rPr>
          <w:rFonts w:hint="eastAsia"/>
          <w:lang w:val="en-US" w:eastAsia="zh-CN"/>
        </w:rPr>
      </w:pPr>
      <w:r>
        <w:rPr>
          <w:rFonts w:hint="eastAsia" w:cs="Times New Roman"/>
          <w:b/>
          <w:bCs/>
          <w:lang w:val="en-US" w:eastAsia="zh-CN"/>
        </w:rPr>
        <w:t>强化旅游用地要素支撑。</w:t>
      </w:r>
      <w:r>
        <w:rPr>
          <w:rFonts w:hint="eastAsia" w:cs="Times New Roman"/>
          <w:lang w:val="en-US" w:eastAsia="zh-CN"/>
        </w:rPr>
        <w:t>积极争取国家及省级用地指标向重大文旅项目倾斜，将其优先纳入市国土空间规划重点保障范围。优化土地供应方式，针对不同文旅项目的用地需求，推行混合供地、租赁、先租后让、弹性年期出让等供应模式，有效降低项目用地成本。着力推动低效产业用地、旧厂房、仓库及历史建筑等存量资源依法依规转型利用，支持其改造为主题酒店、文创街区等旅游载体。</w:t>
      </w:r>
      <w:r>
        <w:rPr>
          <w:rFonts w:hint="eastAsia" w:cs="Times New Roman"/>
          <w:b/>
          <w:bCs/>
          <w:lang w:val="en-US" w:eastAsia="zh-CN"/>
        </w:rPr>
        <w:t>规范旅游用海相关保障。</w:t>
      </w:r>
      <w:r>
        <w:rPr>
          <w:rFonts w:hint="eastAsia" w:cs="Times New Roman"/>
          <w:lang w:val="en-US" w:eastAsia="zh-CN"/>
        </w:rPr>
        <w:t>贯彻实施以《中华人民共和国海域使用管理法》《中华人民共和国海洋环境保护法》为核心的海洋法律制度，落实在保护中开发、在开发中保护的方针，提高依法管海水平，推动海洋旅游规范化发展。广泛宣传海洋及海岸线保护知识和相关法律法规，做到依法用海、有偿用海、持证用海。</w:t>
      </w:r>
      <w:r>
        <w:rPr>
          <w:rFonts w:hint="eastAsia" w:cs="Times New Roman"/>
          <w:b/>
          <w:bCs/>
          <w:lang w:val="en-US" w:eastAsia="zh-CN"/>
        </w:rPr>
        <w:t>强化低空旅游资源保障。</w:t>
      </w:r>
      <w:r>
        <w:rPr>
          <w:rFonts w:hint="eastAsia" w:cs="Times New Roman"/>
          <w:lang w:val="en-US" w:eastAsia="zh-CN"/>
        </w:rPr>
        <w:t>编制低空空域规划，明确不同空域属性类别、功能定位，完成低空空域分类划设，精细划设低空空域航线，建立空域资源档案，满足区域内低空飞行需求。</w:t>
      </w:r>
      <w:bookmarkEnd w:id="204"/>
    </w:p>
    <w:p w14:paraId="5A4C056F">
      <w:pPr>
        <w:pStyle w:val="3"/>
        <w:shd w:val="clear"/>
        <w:spacing w:before="62" w:after="93"/>
        <w:ind w:firstLine="643"/>
        <w:jc w:val="left"/>
        <w:rPr>
          <w:rFonts w:hint="eastAsia"/>
          <w:lang w:val="en-US" w:eastAsia="zh-CN"/>
        </w:rPr>
      </w:pPr>
      <w:bookmarkStart w:id="208" w:name="_Toc8902"/>
      <w:bookmarkStart w:id="209" w:name="_Toc5942"/>
      <w:bookmarkStart w:id="210" w:name="_Toc11320"/>
      <w:r>
        <w:rPr>
          <w:rFonts w:hint="eastAsia"/>
          <w:b w:val="0"/>
          <w:bCs/>
          <w:color w:val="auto"/>
          <w:highlight w:val="none"/>
          <w:lang w:val="en-US" w:eastAsia="zh-CN"/>
        </w:rPr>
        <w:t>五、强化人才保障</w:t>
      </w:r>
      <w:bookmarkEnd w:id="208"/>
      <w:bookmarkEnd w:id="209"/>
      <w:bookmarkEnd w:id="210"/>
    </w:p>
    <w:p w14:paraId="1616E920">
      <w:pPr>
        <w:rPr>
          <w:rFonts w:hint="eastAsia" w:ascii="黑体" w:hAnsi="黑体" w:eastAsia="黑体" w:cs="黑体"/>
          <w:color w:val="000000" w:themeColor="text1"/>
          <w:sz w:val="32"/>
          <w:szCs w:val="32"/>
          <w14:textFill>
            <w14:solidFill>
              <w14:schemeClr w14:val="tx1"/>
            </w14:solidFill>
          </w14:textFill>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cs="Times New Roman"/>
          <w:b/>
          <w:bCs/>
          <w:lang w:val="en-US" w:eastAsia="zh-CN"/>
        </w:rPr>
        <w:t>实施引育工程。</w:t>
      </w:r>
      <w:r>
        <w:rPr>
          <w:rFonts w:hint="eastAsia" w:cs="Times New Roman"/>
          <w:lang w:val="en-US" w:eastAsia="zh-CN"/>
        </w:rPr>
        <w:t>围绕数字化、低空旅游、游艇旅游等重点发展方向，动态掌握我市文化、旅游、体育事业产业紧缺人才需求，并积极推动认定和纳入市高层次人才和急需紧缺人才目录。建立文旅专家咨询库，搭建万宁市文旅发展现代化服务平台。依托重大项目和重点企业，加强与高校、研究机构合作，共建产学研基地。建立健全本土骨干人才系统化培养机制，打造一支高素质导游队伍。</w:t>
      </w:r>
      <w:r>
        <w:rPr>
          <w:rFonts w:hint="eastAsia" w:cs="Times New Roman"/>
          <w:b/>
          <w:bCs/>
          <w:lang w:val="en-US" w:eastAsia="zh-CN"/>
        </w:rPr>
        <w:t>深化产教融合。</w:t>
      </w:r>
      <w:r>
        <w:rPr>
          <w:rFonts w:hint="eastAsia" w:cs="Times New Roman"/>
          <w:lang w:val="en-US" w:eastAsia="zh-CN"/>
        </w:rPr>
        <w:t>推动本地院校与重点文旅企业、行业协会共建特色人才培训基地。共同开发适应新业态的课程体系，推广“订单式”“现代学徒制”等培养模式，定向培养游艇旅游、低空旅游、康养旅游等方面的实用型技能人才。</w:t>
      </w:r>
    </w:p>
    <w:p w14:paraId="300EF54D">
      <w:pPr>
        <w:pStyle w:val="2"/>
        <w:shd w:val="clear"/>
        <w:spacing w:after="62"/>
        <w:ind w:firstLine="0" w:firstLineChars="0"/>
        <w:jc w:val="left"/>
        <w:rPr>
          <w:rFonts w:hint="eastAsia"/>
          <w:b w:val="0"/>
          <w:bCs/>
          <w:color w:val="auto"/>
          <w:sz w:val="36"/>
          <w:szCs w:val="48"/>
          <w:highlight w:val="none"/>
          <w:lang w:val="en-US" w:eastAsia="zh-CN"/>
        </w:rPr>
      </w:pPr>
      <w:bookmarkStart w:id="211" w:name="_Toc7025"/>
      <w:bookmarkStart w:id="212" w:name="_Toc3992"/>
      <w:bookmarkStart w:id="213" w:name="_Toc31141"/>
      <w:r>
        <w:rPr>
          <w:rFonts w:hint="eastAsia"/>
          <w:b w:val="0"/>
          <w:bCs/>
          <w:color w:val="auto"/>
          <w:sz w:val="36"/>
          <w:szCs w:val="48"/>
          <w:highlight w:val="none"/>
          <w:lang w:val="en-US" w:eastAsia="zh-CN"/>
        </w:rPr>
        <w:t>附表1</w:t>
      </w:r>
      <w:bookmarkEnd w:id="211"/>
      <w:bookmarkEnd w:id="212"/>
      <w:bookmarkEnd w:id="213"/>
    </w:p>
    <w:p w14:paraId="5DE73722">
      <w:pPr>
        <w:pStyle w:val="3"/>
        <w:shd w:val="clear"/>
        <w:spacing w:before="62" w:after="93"/>
        <w:ind w:firstLine="640" w:firstLineChars="200"/>
        <w:jc w:val="center"/>
        <w:outlineLvl w:val="0"/>
        <w:rPr>
          <w:rFonts w:hint="default"/>
          <w:b w:val="0"/>
          <w:bCs/>
          <w:color w:val="auto"/>
          <w:highlight w:val="none"/>
          <w:lang w:val="en-US" w:eastAsia="zh-CN"/>
        </w:rPr>
      </w:pPr>
      <w:bookmarkStart w:id="214" w:name="_Toc29700"/>
      <w:bookmarkStart w:id="215" w:name="_Toc9762"/>
      <w:bookmarkStart w:id="216" w:name="_Toc4104"/>
      <w:r>
        <w:rPr>
          <w:rFonts w:hint="eastAsia"/>
          <w:b w:val="0"/>
          <w:bCs/>
          <w:color w:val="auto"/>
          <w:highlight w:val="none"/>
          <w:lang w:val="en-US" w:eastAsia="zh-CN"/>
        </w:rPr>
        <w:t>“十五五”旅游文化体育发展重点项目库</w:t>
      </w:r>
      <w:bookmarkEnd w:id="214"/>
      <w:r>
        <w:rPr>
          <w:rFonts w:hint="eastAsia"/>
          <w:b w:val="0"/>
          <w:bCs/>
          <w:color w:val="auto"/>
          <w:highlight w:val="none"/>
          <w:lang w:val="en-US" w:eastAsia="zh-CN"/>
        </w:rPr>
        <w:t>（14个）</w:t>
      </w:r>
      <w:bookmarkEnd w:id="215"/>
      <w:bookmarkEnd w:id="216"/>
    </w:p>
    <w:tbl>
      <w:tblPr>
        <w:tblStyle w:val="13"/>
        <w:tblW w:w="5085" w:type="pct"/>
        <w:tblInd w:w="0" w:type="dxa"/>
        <w:tblLayout w:type="fixed"/>
        <w:tblCellMar>
          <w:top w:w="0" w:type="dxa"/>
          <w:left w:w="108" w:type="dxa"/>
          <w:bottom w:w="0" w:type="dxa"/>
          <w:right w:w="108" w:type="dxa"/>
        </w:tblCellMar>
      </w:tblPr>
      <w:tblGrid>
        <w:gridCol w:w="686"/>
        <w:gridCol w:w="1761"/>
        <w:gridCol w:w="980"/>
        <w:gridCol w:w="7357"/>
        <w:gridCol w:w="700"/>
        <w:gridCol w:w="1075"/>
        <w:gridCol w:w="1112"/>
        <w:gridCol w:w="744"/>
      </w:tblGrid>
      <w:tr w14:paraId="39E58C15">
        <w:tblPrEx>
          <w:tblCellMar>
            <w:top w:w="0" w:type="dxa"/>
            <w:left w:w="108" w:type="dxa"/>
            <w:bottom w:w="0" w:type="dxa"/>
            <w:right w:w="108" w:type="dxa"/>
          </w:tblCellMar>
        </w:tblPrEx>
        <w:trPr>
          <w:trHeight w:val="90" w:hRule="atLeast"/>
          <w:tblHeader/>
        </w:trPr>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9C2BB3">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序号</w:t>
            </w:r>
          </w:p>
        </w:tc>
        <w:tc>
          <w:tcPr>
            <w:tcW w:w="610" w:type="pct"/>
            <w:tcBorders>
              <w:top w:val="single" w:color="auto" w:sz="4" w:space="0"/>
              <w:left w:val="nil"/>
              <w:bottom w:val="single" w:color="auto" w:sz="4" w:space="0"/>
              <w:right w:val="single" w:color="auto" w:sz="4" w:space="0"/>
            </w:tcBorders>
            <w:shd w:val="clear" w:color="auto" w:fill="auto"/>
            <w:noWrap/>
            <w:vAlign w:val="center"/>
          </w:tcPr>
          <w:p w14:paraId="02A3CE95">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项目名称</w:t>
            </w:r>
          </w:p>
        </w:tc>
        <w:tc>
          <w:tcPr>
            <w:tcW w:w="339" w:type="pct"/>
            <w:tcBorders>
              <w:top w:val="single" w:color="auto" w:sz="4" w:space="0"/>
              <w:left w:val="nil"/>
              <w:bottom w:val="single" w:color="auto" w:sz="4" w:space="0"/>
              <w:right w:val="single" w:color="auto" w:sz="4" w:space="0"/>
            </w:tcBorders>
            <w:shd w:val="clear" w:color="auto" w:fill="auto"/>
            <w:noWrap/>
            <w:vAlign w:val="center"/>
          </w:tcPr>
          <w:p w14:paraId="0B5D05CF">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w:t>
            </w:r>
          </w:p>
          <w:p w14:paraId="5EF6C4F3">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地点</w:t>
            </w:r>
          </w:p>
        </w:tc>
        <w:tc>
          <w:tcPr>
            <w:tcW w:w="2551" w:type="pct"/>
            <w:tcBorders>
              <w:top w:val="single" w:color="auto" w:sz="4" w:space="0"/>
              <w:left w:val="nil"/>
              <w:bottom w:val="single" w:color="auto" w:sz="4" w:space="0"/>
              <w:right w:val="single" w:color="auto" w:sz="4" w:space="0"/>
            </w:tcBorders>
            <w:shd w:val="clear" w:color="auto" w:fill="auto"/>
            <w:noWrap/>
            <w:vAlign w:val="center"/>
          </w:tcPr>
          <w:p w14:paraId="1DFAE5BF">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建设内容</w:t>
            </w:r>
          </w:p>
        </w:tc>
        <w:tc>
          <w:tcPr>
            <w:tcW w:w="242" w:type="pct"/>
            <w:tcBorders>
              <w:top w:val="single" w:color="auto" w:sz="4" w:space="0"/>
              <w:left w:val="nil"/>
              <w:bottom w:val="single" w:color="auto" w:sz="4" w:space="0"/>
              <w:right w:val="single" w:color="auto" w:sz="4" w:space="0"/>
            </w:tcBorders>
            <w:shd w:val="clear" w:color="auto" w:fill="auto"/>
            <w:vAlign w:val="center"/>
          </w:tcPr>
          <w:p w14:paraId="26F16F41">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rPr>
            </w:pPr>
            <w:r>
              <w:rPr>
                <w:rFonts w:hint="eastAsia" w:ascii="仿宋_GB2312" w:hAnsi="仿宋_GB2312" w:eastAsia="仿宋_GB2312" w:cs="仿宋_GB2312"/>
                <w:b/>
                <w:color w:val="auto"/>
                <w:kern w:val="0"/>
                <w:sz w:val="24"/>
                <w:szCs w:val="21"/>
                <w:lang w:val="en-US" w:eastAsia="zh-CN"/>
              </w:rPr>
              <w:t>建设</w:t>
            </w:r>
          </w:p>
          <w:p w14:paraId="1042BAAD">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lang w:val="en-US" w:eastAsia="zh-CN"/>
              </w:rPr>
              <w:t>阶段</w:t>
            </w:r>
          </w:p>
        </w:tc>
        <w:tc>
          <w:tcPr>
            <w:tcW w:w="372" w:type="pct"/>
            <w:tcBorders>
              <w:top w:val="single" w:color="auto" w:sz="4" w:space="0"/>
              <w:left w:val="nil"/>
              <w:bottom w:val="single" w:color="auto" w:sz="4" w:space="0"/>
              <w:right w:val="single" w:color="auto" w:sz="4" w:space="0"/>
            </w:tcBorders>
            <w:shd w:val="clear" w:color="auto" w:fill="auto"/>
            <w:vAlign w:val="center"/>
          </w:tcPr>
          <w:p w14:paraId="56635B48">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投资额</w:t>
            </w:r>
            <w:r>
              <w:rPr>
                <w:rFonts w:hint="eastAsia" w:ascii="仿宋_GB2312" w:hAnsi="仿宋_GB2312" w:eastAsia="仿宋_GB2312" w:cs="仿宋_GB2312"/>
                <w:b/>
                <w:color w:val="auto"/>
                <w:kern w:val="0"/>
                <w:sz w:val="24"/>
                <w:szCs w:val="21"/>
              </w:rPr>
              <w:br w:type="textWrapping"/>
            </w:r>
            <w:r>
              <w:rPr>
                <w:rFonts w:hint="eastAsia" w:ascii="仿宋_GB2312" w:hAnsi="仿宋_GB2312" w:eastAsia="仿宋_GB2312" w:cs="仿宋_GB2312"/>
                <w:b/>
                <w:color w:val="auto"/>
                <w:kern w:val="0"/>
                <w:sz w:val="24"/>
                <w:szCs w:val="21"/>
              </w:rPr>
              <w:t>（万元）</w:t>
            </w:r>
          </w:p>
        </w:tc>
        <w:tc>
          <w:tcPr>
            <w:tcW w:w="385" w:type="pct"/>
            <w:tcBorders>
              <w:top w:val="single" w:color="auto" w:sz="4" w:space="0"/>
              <w:left w:val="nil"/>
              <w:bottom w:val="single" w:color="auto" w:sz="4" w:space="0"/>
              <w:right w:val="single" w:color="auto" w:sz="4" w:space="0"/>
            </w:tcBorders>
            <w:shd w:val="clear" w:color="auto" w:fill="auto"/>
            <w:noWrap/>
            <w:vAlign w:val="center"/>
          </w:tcPr>
          <w:p w14:paraId="3D7D3343">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w:t>
            </w:r>
          </w:p>
          <w:p w14:paraId="3EBAB5DD">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期限</w:t>
            </w:r>
          </w:p>
        </w:tc>
        <w:tc>
          <w:tcPr>
            <w:tcW w:w="258" w:type="pct"/>
            <w:tcBorders>
              <w:top w:val="single" w:color="auto" w:sz="4" w:space="0"/>
              <w:left w:val="nil"/>
              <w:bottom w:val="single" w:color="auto" w:sz="4" w:space="0"/>
              <w:right w:val="single" w:color="auto" w:sz="4" w:space="0"/>
            </w:tcBorders>
            <w:shd w:val="clear" w:color="auto" w:fill="auto"/>
            <w:noWrap/>
            <w:vAlign w:val="center"/>
          </w:tcPr>
          <w:p w14:paraId="6EB4A915">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w:t>
            </w:r>
          </w:p>
          <w:p w14:paraId="0C7672E7">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类别</w:t>
            </w:r>
          </w:p>
        </w:tc>
      </w:tr>
      <w:tr w14:paraId="7D84B9AF">
        <w:tblPrEx>
          <w:tblCellMar>
            <w:top w:w="0" w:type="dxa"/>
            <w:left w:w="108" w:type="dxa"/>
            <w:bottom w:w="0" w:type="dxa"/>
            <w:right w:w="108" w:type="dxa"/>
          </w:tblCellMar>
        </w:tblPrEx>
        <w:trPr>
          <w:trHeight w:val="244"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134B58D1">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1</w:t>
            </w:r>
          </w:p>
        </w:tc>
        <w:tc>
          <w:tcPr>
            <w:tcW w:w="610" w:type="pct"/>
            <w:tcBorders>
              <w:top w:val="nil"/>
              <w:left w:val="nil"/>
              <w:bottom w:val="single" w:color="auto" w:sz="4" w:space="0"/>
              <w:right w:val="single" w:color="auto" w:sz="4" w:space="0"/>
            </w:tcBorders>
            <w:shd w:val="clear" w:color="auto" w:fill="auto"/>
            <w:vAlign w:val="center"/>
          </w:tcPr>
          <w:p w14:paraId="37D970BB">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000000" w:themeColor="text1"/>
                <w:kern w:val="0"/>
                <w:sz w:val="24"/>
                <w:szCs w:val="21"/>
                <w:highlight w:val="none"/>
                <w14:textFill>
                  <w14:solidFill>
                    <w14:schemeClr w14:val="tx1"/>
                  </w14:solidFill>
                </w14:textFill>
              </w:rPr>
              <w:t>万宁市日月湾滨海沿线高质量户外运动目的地建设项目</w:t>
            </w:r>
          </w:p>
        </w:tc>
        <w:tc>
          <w:tcPr>
            <w:tcW w:w="339" w:type="pct"/>
            <w:tcBorders>
              <w:top w:val="nil"/>
              <w:left w:val="nil"/>
              <w:bottom w:val="single" w:color="auto" w:sz="4" w:space="0"/>
              <w:right w:val="single" w:color="auto" w:sz="4" w:space="0"/>
            </w:tcBorders>
            <w:shd w:val="clear" w:color="auto" w:fill="auto"/>
            <w:vAlign w:val="center"/>
          </w:tcPr>
          <w:p w14:paraId="589B266D">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日月湾、神州半岛、石梅湾</w:t>
            </w:r>
          </w:p>
        </w:tc>
        <w:tc>
          <w:tcPr>
            <w:tcW w:w="2551" w:type="pct"/>
            <w:tcBorders>
              <w:top w:val="nil"/>
              <w:left w:val="nil"/>
              <w:bottom w:val="single" w:color="auto" w:sz="4" w:space="0"/>
              <w:right w:val="single" w:color="auto" w:sz="4" w:space="0"/>
            </w:tcBorders>
            <w:shd w:val="clear" w:color="auto" w:fill="auto"/>
            <w:vAlign w:val="center"/>
          </w:tcPr>
          <w:p w14:paraId="6358990F">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将万宁市打造成为以日月湾为核心的一带（构建以日月湾冲浪、石梅湾潜水和神州半岛摩托艇为核心黄金海岸运动带，开展桨板、帆船帆板、沙滩足球、海钓等运动，打造全球滨海运动目的地）、一环（利用海南万宁生态优势，打造以日月湾为起点，连接日月湾片区、杨梅湾片区等片区和鹦哥鼻岭片区的青皮林和海南兴隆侨乡国家森林公园的马拉松、骑行、徒步等运动目的地）、三水系（依托优质水系资源，打造以茄新水、田新水、杨梅水以野径探险、生态徒步、生态科普、越野跑、露营为主三条放射状滨水道，构建桨板、龙舟、皮划艇等运动目的地）的滨海运动目的地。包括三大板块重点项目建设：运动场地设施板块</w:t>
            </w:r>
            <w:r>
              <w:rPr>
                <w:rFonts w:hint="eastAsia" w:cs="仿宋_GB2312"/>
                <w:bCs/>
                <w:color w:val="auto"/>
                <w:kern w:val="0"/>
                <w:sz w:val="24"/>
                <w:szCs w:val="21"/>
                <w:lang w:val="en-US" w:eastAsia="zh-CN"/>
              </w:rPr>
              <w:t>包含</w:t>
            </w:r>
            <w:r>
              <w:rPr>
                <w:rFonts w:hint="eastAsia" w:ascii="仿宋_GB2312" w:hAnsi="仿宋_GB2312" w:eastAsia="仿宋_GB2312" w:cs="仿宋_GB2312"/>
                <w:bCs/>
                <w:color w:val="auto"/>
                <w:kern w:val="0"/>
                <w:sz w:val="24"/>
                <w:szCs w:val="21"/>
              </w:rPr>
              <w:t>中旅日月湾驿站、国家冲浪训练基地修缮、国家潜水南方训练基地、国家摩托艇南方训练基地改造升级、保利游艇码头、日月湾茄新渔村冲浪谷乡村旅游度假区项目、“一带”户外运动赛道建设项目、“一环”户外运动赛道改造项目等；公共服务设施板块</w:t>
            </w:r>
            <w:r>
              <w:rPr>
                <w:rFonts w:hint="eastAsia" w:cs="仿宋_GB2312"/>
                <w:bCs/>
                <w:color w:val="auto"/>
                <w:kern w:val="0"/>
                <w:sz w:val="24"/>
                <w:szCs w:val="21"/>
                <w:lang w:val="en-US" w:eastAsia="zh-CN"/>
              </w:rPr>
              <w:t>包含</w:t>
            </w:r>
            <w:r>
              <w:rPr>
                <w:rFonts w:hint="eastAsia" w:ascii="仿宋_GB2312" w:hAnsi="仿宋_GB2312" w:eastAsia="仿宋_GB2312" w:cs="仿宋_GB2312"/>
                <w:bCs/>
                <w:color w:val="auto"/>
                <w:kern w:val="0"/>
                <w:sz w:val="24"/>
                <w:szCs w:val="21"/>
              </w:rPr>
              <w:t>日月湾湾区基础设施提升改造工程、日月湾城市停车场及旅游基础设施提质改造工程、日月湾体育产业园区基础配套设施项目、日月逐浪驿站连接道路工程、日月湾时尚运动小镇及周边区域（田新、茄新）生活污水治理工程、日月湾海洋生态保护和修复工程等；滨海运动商业配套板块包</w:t>
            </w:r>
            <w:r>
              <w:rPr>
                <w:rFonts w:hint="eastAsia" w:cs="仿宋_GB2312"/>
                <w:bCs/>
                <w:color w:val="auto"/>
                <w:kern w:val="0"/>
                <w:sz w:val="24"/>
                <w:szCs w:val="21"/>
                <w:lang w:val="en-US" w:eastAsia="zh-CN"/>
              </w:rPr>
              <w:t>含</w:t>
            </w:r>
            <w:r>
              <w:rPr>
                <w:rFonts w:hint="eastAsia" w:ascii="仿宋_GB2312" w:hAnsi="仿宋_GB2312" w:eastAsia="仿宋_GB2312" w:cs="仿宋_GB2312"/>
                <w:bCs/>
                <w:color w:val="auto"/>
                <w:kern w:val="0"/>
                <w:sz w:val="24"/>
                <w:szCs w:val="21"/>
              </w:rPr>
              <w:t>万宁市冲浪装备产研基地项目、海南精酿智造啤酒项目、万宁市神州半岛C-19号地块酒店项目、酒店民宿集群等。</w:t>
            </w:r>
          </w:p>
        </w:tc>
        <w:tc>
          <w:tcPr>
            <w:tcW w:w="242" w:type="pct"/>
            <w:tcBorders>
              <w:top w:val="nil"/>
              <w:left w:val="nil"/>
              <w:bottom w:val="single" w:color="auto" w:sz="4" w:space="0"/>
              <w:right w:val="single" w:color="auto" w:sz="4" w:space="0"/>
            </w:tcBorders>
            <w:shd w:val="clear" w:color="auto" w:fill="auto"/>
            <w:vAlign w:val="center"/>
          </w:tcPr>
          <w:p w14:paraId="4D93376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7A14504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596000</w:t>
            </w:r>
          </w:p>
        </w:tc>
        <w:tc>
          <w:tcPr>
            <w:tcW w:w="385" w:type="pct"/>
            <w:tcBorders>
              <w:top w:val="nil"/>
              <w:left w:val="nil"/>
              <w:bottom w:val="single" w:color="auto" w:sz="4" w:space="0"/>
              <w:right w:val="single" w:color="auto" w:sz="4" w:space="0"/>
            </w:tcBorders>
            <w:shd w:val="clear" w:color="auto" w:fill="auto"/>
            <w:vAlign w:val="center"/>
          </w:tcPr>
          <w:p w14:paraId="5920E336">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4</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30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500EF0B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海洋旅游</w:t>
            </w:r>
          </w:p>
        </w:tc>
      </w:tr>
      <w:tr w14:paraId="2B06782B">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1AEDDEF3">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2</w:t>
            </w:r>
          </w:p>
        </w:tc>
        <w:tc>
          <w:tcPr>
            <w:tcW w:w="610" w:type="pct"/>
            <w:tcBorders>
              <w:top w:val="nil"/>
              <w:left w:val="nil"/>
              <w:bottom w:val="single" w:color="auto" w:sz="4" w:space="0"/>
              <w:right w:val="single" w:color="auto" w:sz="4" w:space="0"/>
            </w:tcBorders>
            <w:shd w:val="clear" w:color="auto" w:fill="auto"/>
            <w:vAlign w:val="center"/>
          </w:tcPr>
          <w:p w14:paraId="545A40F2">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万宁日月湾世界冲浪胜地</w:t>
            </w:r>
          </w:p>
        </w:tc>
        <w:tc>
          <w:tcPr>
            <w:tcW w:w="339" w:type="pct"/>
            <w:tcBorders>
              <w:top w:val="nil"/>
              <w:left w:val="nil"/>
              <w:bottom w:val="single" w:color="auto" w:sz="4" w:space="0"/>
              <w:right w:val="single" w:color="auto" w:sz="4" w:space="0"/>
            </w:tcBorders>
            <w:shd w:val="clear" w:color="auto" w:fill="auto"/>
            <w:vAlign w:val="center"/>
          </w:tcPr>
          <w:p w14:paraId="5B82CDDA">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日月湾</w:t>
            </w:r>
          </w:p>
        </w:tc>
        <w:tc>
          <w:tcPr>
            <w:tcW w:w="2551" w:type="pct"/>
            <w:tcBorders>
              <w:top w:val="nil"/>
              <w:left w:val="nil"/>
              <w:bottom w:val="single" w:color="auto" w:sz="4" w:space="0"/>
              <w:right w:val="single" w:color="auto" w:sz="4" w:space="0"/>
            </w:tcBorders>
            <w:shd w:val="clear" w:color="auto" w:fill="auto"/>
            <w:vAlign w:val="center"/>
          </w:tcPr>
          <w:p w14:paraId="1BC7F5CB">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项目包含运动员公寓、冲浪主题民宿、冲浪主题游客中心、冲浪主题文化公园、冲浪主题集市等冲浪主题商业配套、停车楼及星级酒店。</w:t>
            </w:r>
          </w:p>
        </w:tc>
        <w:tc>
          <w:tcPr>
            <w:tcW w:w="242" w:type="pct"/>
            <w:tcBorders>
              <w:top w:val="nil"/>
              <w:left w:val="nil"/>
              <w:bottom w:val="single" w:color="auto" w:sz="4" w:space="0"/>
              <w:right w:val="single" w:color="auto" w:sz="4" w:space="0"/>
            </w:tcBorders>
            <w:shd w:val="clear" w:color="auto" w:fill="auto"/>
            <w:vAlign w:val="center"/>
          </w:tcPr>
          <w:p w14:paraId="49A51B46">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412A71E5">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373800</w:t>
            </w:r>
          </w:p>
        </w:tc>
        <w:tc>
          <w:tcPr>
            <w:tcW w:w="385" w:type="pct"/>
            <w:tcBorders>
              <w:top w:val="nil"/>
              <w:left w:val="nil"/>
              <w:bottom w:val="single" w:color="auto" w:sz="4" w:space="0"/>
              <w:right w:val="single" w:color="auto" w:sz="4" w:space="0"/>
            </w:tcBorders>
            <w:shd w:val="clear" w:color="auto" w:fill="auto"/>
            <w:vAlign w:val="center"/>
          </w:tcPr>
          <w:p w14:paraId="58B1D734">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29</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7AF5BD7B">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海洋旅游</w:t>
            </w:r>
          </w:p>
        </w:tc>
      </w:tr>
      <w:tr w14:paraId="1D82F0DC">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3D93C06D">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3</w:t>
            </w:r>
          </w:p>
        </w:tc>
        <w:tc>
          <w:tcPr>
            <w:tcW w:w="610" w:type="pct"/>
            <w:tcBorders>
              <w:top w:val="nil"/>
              <w:left w:val="nil"/>
              <w:bottom w:val="single" w:color="auto" w:sz="4" w:space="0"/>
              <w:right w:val="single" w:color="auto" w:sz="4" w:space="0"/>
            </w:tcBorders>
            <w:shd w:val="clear" w:color="auto" w:fill="auto"/>
            <w:vAlign w:val="center"/>
          </w:tcPr>
          <w:p w14:paraId="18C74441">
            <w:pPr>
              <w:widowControl/>
              <w:spacing w:line="240" w:lineRule="auto"/>
              <w:ind w:firstLine="0" w:firstLineChars="0"/>
              <w:jc w:val="center"/>
              <w:rPr>
                <w:rFonts w:hint="eastAsia" w:ascii="仿宋_GB2312" w:hAnsi="仿宋_GB2312" w:eastAsia="仿宋_GB2312" w:cs="仿宋_GB2312"/>
                <w:b/>
                <w:color w:val="auto"/>
                <w:kern w:val="0"/>
                <w:sz w:val="24"/>
                <w:szCs w:val="21"/>
                <w:highlight w:val="yellow"/>
                <w:lang w:val="en-US" w:eastAsia="zh-CN" w:bidi="ar-SA"/>
              </w:rPr>
            </w:pPr>
            <w:r>
              <w:rPr>
                <w:rFonts w:hint="eastAsia" w:ascii="仿宋_GB2312" w:hAnsi="仿宋_GB2312" w:eastAsia="仿宋_GB2312" w:cs="仿宋_GB2312"/>
                <w:b/>
                <w:color w:val="auto"/>
                <w:kern w:val="0"/>
                <w:sz w:val="24"/>
                <w:szCs w:val="21"/>
                <w:highlight w:val="none"/>
                <w:shd w:val="clear"/>
                <w:lang w:val="en-US" w:eastAsia="zh-CN" w:bidi="ar-SA"/>
              </w:rPr>
              <w:t>老爷海国家公园</w:t>
            </w:r>
          </w:p>
        </w:tc>
        <w:tc>
          <w:tcPr>
            <w:tcW w:w="339" w:type="pct"/>
            <w:tcBorders>
              <w:top w:val="nil"/>
              <w:left w:val="nil"/>
              <w:bottom w:val="single" w:color="auto" w:sz="4" w:space="0"/>
              <w:right w:val="single" w:color="auto" w:sz="4" w:space="0"/>
            </w:tcBorders>
            <w:shd w:val="clear" w:color="auto" w:fill="auto"/>
            <w:vAlign w:val="center"/>
          </w:tcPr>
          <w:p w14:paraId="5025D578">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万宁市</w:t>
            </w:r>
          </w:p>
        </w:tc>
        <w:tc>
          <w:tcPr>
            <w:tcW w:w="2551" w:type="pct"/>
            <w:tcBorders>
              <w:top w:val="nil"/>
              <w:left w:val="nil"/>
              <w:bottom w:val="single" w:color="auto" w:sz="4" w:space="0"/>
              <w:right w:val="single" w:color="auto" w:sz="4" w:space="0"/>
            </w:tcBorders>
            <w:shd w:val="clear" w:color="auto" w:fill="auto"/>
            <w:vAlign w:val="center"/>
          </w:tcPr>
          <w:p w14:paraId="5649A7F6">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进行污水处理厂扩建工程，设立垃圾收集点，布置3处生态停车场，设置4处游艇码头，沿老爷海修建生态廊道、骑行道，布置4处观景平台，5处生态驿站，修建体育公园，配套建设游客服务中心等。</w:t>
            </w:r>
          </w:p>
        </w:tc>
        <w:tc>
          <w:tcPr>
            <w:tcW w:w="242" w:type="pct"/>
            <w:tcBorders>
              <w:top w:val="nil"/>
              <w:left w:val="nil"/>
              <w:bottom w:val="single" w:color="auto" w:sz="4" w:space="0"/>
              <w:right w:val="single" w:color="auto" w:sz="4" w:space="0"/>
            </w:tcBorders>
            <w:shd w:val="clear" w:color="auto" w:fill="auto"/>
            <w:vAlign w:val="center"/>
          </w:tcPr>
          <w:p w14:paraId="1098F2E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1A2C0BA6">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20000</w:t>
            </w:r>
          </w:p>
        </w:tc>
        <w:tc>
          <w:tcPr>
            <w:tcW w:w="385" w:type="pct"/>
            <w:tcBorders>
              <w:top w:val="nil"/>
              <w:left w:val="nil"/>
              <w:bottom w:val="single" w:color="auto" w:sz="4" w:space="0"/>
              <w:right w:val="single" w:color="auto" w:sz="4" w:space="0"/>
            </w:tcBorders>
            <w:shd w:val="clear" w:color="auto" w:fill="auto"/>
            <w:vAlign w:val="center"/>
          </w:tcPr>
          <w:p w14:paraId="59AD273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29</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5EFA68F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海洋旅游</w:t>
            </w:r>
          </w:p>
        </w:tc>
      </w:tr>
      <w:tr w14:paraId="7319E266">
        <w:tblPrEx>
          <w:tblCellMar>
            <w:top w:w="0" w:type="dxa"/>
            <w:left w:w="108" w:type="dxa"/>
            <w:bottom w:w="0" w:type="dxa"/>
            <w:right w:w="108" w:type="dxa"/>
          </w:tblCellMar>
        </w:tblPrEx>
        <w:trPr>
          <w:trHeight w:val="341"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2CDE1C0A">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4</w:t>
            </w:r>
          </w:p>
        </w:tc>
        <w:tc>
          <w:tcPr>
            <w:tcW w:w="610" w:type="pct"/>
            <w:tcBorders>
              <w:top w:val="nil"/>
              <w:left w:val="nil"/>
              <w:bottom w:val="single" w:color="auto" w:sz="4" w:space="0"/>
              <w:right w:val="single" w:color="auto" w:sz="4" w:space="0"/>
            </w:tcBorders>
            <w:shd w:val="clear" w:color="auto" w:fill="auto"/>
            <w:vAlign w:val="center"/>
          </w:tcPr>
          <w:p w14:paraId="7C826A64">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auto"/>
                <w:kern w:val="0"/>
                <w:sz w:val="24"/>
                <w:szCs w:val="21"/>
                <w:highlight w:val="none"/>
              </w:rPr>
              <w:t>万宁市咖啡产业升级示范园建设项目</w:t>
            </w:r>
          </w:p>
        </w:tc>
        <w:tc>
          <w:tcPr>
            <w:tcW w:w="339" w:type="pct"/>
            <w:tcBorders>
              <w:top w:val="nil"/>
              <w:left w:val="nil"/>
              <w:bottom w:val="single" w:color="auto" w:sz="4" w:space="0"/>
              <w:right w:val="single" w:color="auto" w:sz="4" w:space="0"/>
            </w:tcBorders>
            <w:shd w:val="clear" w:color="auto" w:fill="auto"/>
            <w:vAlign w:val="center"/>
          </w:tcPr>
          <w:p w14:paraId="30657E2E">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兴隆区</w:t>
            </w:r>
          </w:p>
        </w:tc>
        <w:tc>
          <w:tcPr>
            <w:tcW w:w="2551" w:type="pct"/>
            <w:tcBorders>
              <w:top w:val="nil"/>
              <w:left w:val="nil"/>
              <w:bottom w:val="single" w:color="auto" w:sz="4" w:space="0"/>
              <w:right w:val="single" w:color="auto" w:sz="4" w:space="0"/>
            </w:tcBorders>
            <w:shd w:val="clear" w:color="auto" w:fill="auto"/>
            <w:vAlign w:val="center"/>
          </w:tcPr>
          <w:p w14:paraId="6E929BAE">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rPr>
              <w:t>咖啡研学教培与品质鉴定基地。打造集咖啡文化体验、科普教育、技能培训、国际认证考试于一体的综合性咖啡教育研学营地，按国际咖啡质量鉴定中心CQI实验室级教室标准建设，购置咖啡杯品硬件设施，组建专业鉴定与培训团队，开发适配兴隆咖啡的课程体系，核心开展咖啡风味品鉴教学与相关培训工作。搭建学习交流平台，传播兴隆咖啡文化，培养一批咖啡专业人才。</w:t>
            </w:r>
          </w:p>
          <w:p w14:paraId="650508B8">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rPr>
              <w:t>电商展示区。建设网络直播中心，打造线下体验和展示厅，购置直播设备、咖啡展示及其他配套设备设施。</w:t>
            </w:r>
          </w:p>
          <w:p w14:paraId="4D509B71">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rPr>
              <w:t>仓储物流区。配备标准化仓库、分拣包装车间、装卸货平台。</w:t>
            </w:r>
          </w:p>
          <w:p w14:paraId="6BC7F641">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④</w:t>
            </w:r>
            <w:r>
              <w:rPr>
                <w:rFonts w:hint="eastAsia" w:ascii="仿宋_GB2312" w:hAnsi="仿宋_GB2312" w:eastAsia="仿宋_GB2312" w:cs="仿宋_GB2312"/>
                <w:bCs/>
                <w:color w:val="auto"/>
                <w:kern w:val="0"/>
                <w:sz w:val="24"/>
                <w:szCs w:val="21"/>
              </w:rPr>
              <w:t>加工基地与检测中心。一是加工基地分为初加工车间和精深加工区。二是品质检测中心建有评审室、基础检测设备和专业检测仪器。</w:t>
            </w:r>
          </w:p>
          <w:p w14:paraId="262E00C7">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⑤</w:t>
            </w:r>
            <w:r>
              <w:rPr>
                <w:rFonts w:hint="eastAsia" w:ascii="仿宋_GB2312" w:hAnsi="仿宋_GB2312" w:eastAsia="仿宋_GB2312" w:cs="仿宋_GB2312"/>
                <w:bCs/>
                <w:color w:val="auto"/>
                <w:kern w:val="0"/>
                <w:sz w:val="24"/>
                <w:szCs w:val="21"/>
              </w:rPr>
              <w:t>溯源系统与数据管理。一是给咖啡豆赋予唯一追溯码，关联种植基地、加工环节、检测报告、物流信息，实现全链条可追溯。二是整合交易数据、库存数据、市场行情数据，提供行业分析、供需预测功能。</w:t>
            </w:r>
          </w:p>
        </w:tc>
        <w:tc>
          <w:tcPr>
            <w:tcW w:w="242" w:type="pct"/>
            <w:tcBorders>
              <w:top w:val="nil"/>
              <w:left w:val="nil"/>
              <w:bottom w:val="single" w:color="auto" w:sz="4" w:space="0"/>
              <w:right w:val="single" w:color="auto" w:sz="4" w:space="0"/>
            </w:tcBorders>
            <w:shd w:val="clear" w:color="auto" w:fill="auto"/>
            <w:vAlign w:val="center"/>
          </w:tcPr>
          <w:p w14:paraId="7C0204E0">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35076857">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30000</w:t>
            </w:r>
          </w:p>
        </w:tc>
        <w:tc>
          <w:tcPr>
            <w:tcW w:w="385" w:type="pct"/>
            <w:tcBorders>
              <w:top w:val="nil"/>
              <w:left w:val="nil"/>
              <w:bottom w:val="single" w:color="auto" w:sz="4" w:space="0"/>
              <w:right w:val="single" w:color="auto" w:sz="4" w:space="0"/>
            </w:tcBorders>
            <w:shd w:val="clear" w:color="auto" w:fill="auto"/>
            <w:vAlign w:val="center"/>
          </w:tcPr>
          <w:p w14:paraId="6E66F686">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14E66004">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文化旅游</w:t>
            </w:r>
          </w:p>
        </w:tc>
      </w:tr>
      <w:tr w14:paraId="6A9C0896">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55279DEC">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5</w:t>
            </w:r>
          </w:p>
        </w:tc>
        <w:tc>
          <w:tcPr>
            <w:tcW w:w="610" w:type="pct"/>
            <w:tcBorders>
              <w:top w:val="nil"/>
              <w:left w:val="nil"/>
              <w:bottom w:val="single" w:color="auto" w:sz="4" w:space="0"/>
              <w:right w:val="single" w:color="auto" w:sz="4" w:space="0"/>
            </w:tcBorders>
            <w:shd w:val="clear" w:color="auto" w:fill="auto"/>
            <w:vAlign w:val="center"/>
          </w:tcPr>
          <w:p w14:paraId="7F97881B">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color w:val="auto"/>
                <w:kern w:val="0"/>
                <w:sz w:val="24"/>
                <w:szCs w:val="21"/>
                <w:highlight w:val="none"/>
              </w:rPr>
              <w:t>正大万宁兴隆咖啡城项目</w:t>
            </w:r>
          </w:p>
        </w:tc>
        <w:tc>
          <w:tcPr>
            <w:tcW w:w="339" w:type="pct"/>
            <w:tcBorders>
              <w:top w:val="nil"/>
              <w:left w:val="nil"/>
              <w:bottom w:val="single" w:color="auto" w:sz="4" w:space="0"/>
              <w:right w:val="single" w:color="auto" w:sz="4" w:space="0"/>
            </w:tcBorders>
            <w:shd w:val="clear" w:color="auto" w:fill="auto"/>
            <w:vAlign w:val="center"/>
          </w:tcPr>
          <w:p w14:paraId="50FF21D1">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兴隆区</w:t>
            </w:r>
          </w:p>
        </w:tc>
        <w:tc>
          <w:tcPr>
            <w:tcW w:w="2551" w:type="pct"/>
            <w:tcBorders>
              <w:top w:val="nil"/>
              <w:left w:val="nil"/>
              <w:bottom w:val="single" w:color="auto" w:sz="4" w:space="0"/>
              <w:right w:val="single" w:color="auto" w:sz="4" w:space="0"/>
            </w:tcBorders>
            <w:shd w:val="clear" w:color="auto" w:fill="auto"/>
            <w:vAlign w:val="center"/>
          </w:tcPr>
          <w:p w14:paraId="002B8D23">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项目</w:t>
            </w:r>
            <w:r>
              <w:rPr>
                <w:rFonts w:hint="eastAsia" w:ascii="仿宋_GB2312" w:hAnsi="仿宋_GB2312" w:eastAsia="仿宋_GB2312" w:cs="仿宋_GB2312"/>
                <w:bCs/>
                <w:color w:val="auto"/>
                <w:kern w:val="0"/>
                <w:sz w:val="24"/>
                <w:szCs w:val="21"/>
              </w:rPr>
              <w:t>拟开发建设商业和文化类建筑及相关配套设施、建设咖啡厂旧改和咖啡厂配套楼等。</w:t>
            </w:r>
          </w:p>
        </w:tc>
        <w:tc>
          <w:tcPr>
            <w:tcW w:w="242" w:type="pct"/>
            <w:tcBorders>
              <w:top w:val="nil"/>
              <w:left w:val="nil"/>
              <w:bottom w:val="single" w:color="auto" w:sz="4" w:space="0"/>
              <w:right w:val="single" w:color="auto" w:sz="4" w:space="0"/>
            </w:tcBorders>
            <w:shd w:val="clear" w:color="auto" w:fill="auto"/>
            <w:vAlign w:val="center"/>
          </w:tcPr>
          <w:p w14:paraId="31685B0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5779369F">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164815</w:t>
            </w:r>
          </w:p>
        </w:tc>
        <w:tc>
          <w:tcPr>
            <w:tcW w:w="385" w:type="pct"/>
            <w:tcBorders>
              <w:top w:val="nil"/>
              <w:left w:val="nil"/>
              <w:bottom w:val="single" w:color="auto" w:sz="4" w:space="0"/>
              <w:right w:val="single" w:color="auto" w:sz="4" w:space="0"/>
            </w:tcBorders>
            <w:shd w:val="clear" w:color="auto" w:fill="auto"/>
            <w:vAlign w:val="center"/>
          </w:tcPr>
          <w:p w14:paraId="5205787F">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1</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35BD712B">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文化旅游</w:t>
            </w:r>
          </w:p>
        </w:tc>
      </w:tr>
      <w:tr w14:paraId="6EA1E37C">
        <w:tblPrEx>
          <w:tblCellMar>
            <w:top w:w="0" w:type="dxa"/>
            <w:left w:w="108" w:type="dxa"/>
            <w:bottom w:w="0" w:type="dxa"/>
            <w:right w:w="108" w:type="dxa"/>
          </w:tblCellMar>
        </w:tblPrEx>
        <w:trPr>
          <w:trHeight w:val="328"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904C6AD">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6</w:t>
            </w:r>
          </w:p>
        </w:tc>
        <w:tc>
          <w:tcPr>
            <w:tcW w:w="610" w:type="pct"/>
            <w:tcBorders>
              <w:top w:val="nil"/>
              <w:left w:val="nil"/>
              <w:bottom w:val="single" w:color="auto" w:sz="4" w:space="0"/>
              <w:right w:val="single" w:color="auto" w:sz="4" w:space="0"/>
            </w:tcBorders>
            <w:shd w:val="clear" w:color="auto" w:fill="auto"/>
            <w:vAlign w:val="center"/>
          </w:tcPr>
          <w:p w14:paraId="00161454">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万宁市文化体育广场—游泳馆</w:t>
            </w:r>
          </w:p>
        </w:tc>
        <w:tc>
          <w:tcPr>
            <w:tcW w:w="339" w:type="pct"/>
            <w:tcBorders>
              <w:top w:val="nil"/>
              <w:left w:val="nil"/>
              <w:bottom w:val="single" w:color="auto" w:sz="4" w:space="0"/>
              <w:right w:val="single" w:color="auto" w:sz="4" w:space="0"/>
            </w:tcBorders>
            <w:shd w:val="clear" w:color="auto" w:fill="auto"/>
            <w:vAlign w:val="center"/>
          </w:tcPr>
          <w:p w14:paraId="53608A89">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万城镇</w:t>
            </w:r>
          </w:p>
        </w:tc>
        <w:tc>
          <w:tcPr>
            <w:tcW w:w="2551" w:type="pct"/>
            <w:tcBorders>
              <w:top w:val="nil"/>
              <w:left w:val="nil"/>
              <w:bottom w:val="single" w:color="auto" w:sz="4" w:space="0"/>
              <w:right w:val="single" w:color="auto" w:sz="4" w:space="0"/>
            </w:tcBorders>
            <w:shd w:val="clear" w:color="auto" w:fill="auto"/>
            <w:vAlign w:val="center"/>
          </w:tcPr>
          <w:p w14:paraId="7650307F">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lang w:eastAsia="zh-CN"/>
              </w:rPr>
              <w:t>位于万宁市文化体育广场-体育广场项目场区内。拟新建1栋游泳馆，配套建设地上停车场工程、绿化工程、道路及硬化工程、景观小品及环卫工程，以及室外给排水工程、消防工程电气工程、监控工程等。</w:t>
            </w:r>
          </w:p>
        </w:tc>
        <w:tc>
          <w:tcPr>
            <w:tcW w:w="242" w:type="pct"/>
            <w:tcBorders>
              <w:top w:val="nil"/>
              <w:left w:val="nil"/>
              <w:bottom w:val="single" w:color="auto" w:sz="4" w:space="0"/>
              <w:right w:val="single" w:color="auto" w:sz="4" w:space="0"/>
            </w:tcBorders>
            <w:shd w:val="clear" w:color="auto" w:fill="auto"/>
            <w:vAlign w:val="center"/>
          </w:tcPr>
          <w:p w14:paraId="0FE7E2EF">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71E1EC3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14538.2</w:t>
            </w:r>
          </w:p>
        </w:tc>
        <w:tc>
          <w:tcPr>
            <w:tcW w:w="385" w:type="pct"/>
            <w:tcBorders>
              <w:top w:val="nil"/>
              <w:left w:val="nil"/>
              <w:bottom w:val="single" w:color="auto" w:sz="4" w:space="0"/>
              <w:right w:val="single" w:color="auto" w:sz="4" w:space="0"/>
            </w:tcBorders>
            <w:shd w:val="clear" w:color="auto" w:fill="auto"/>
            <w:vAlign w:val="center"/>
          </w:tcPr>
          <w:p w14:paraId="2267F9D3">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5</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01DE096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体育</w:t>
            </w:r>
            <w:r>
              <w:rPr>
                <w:rFonts w:hint="eastAsia" w:ascii="仿宋_GB2312" w:hAnsi="仿宋_GB2312" w:eastAsia="仿宋_GB2312" w:cs="仿宋_GB2312"/>
                <w:bCs/>
                <w:color w:val="auto"/>
                <w:kern w:val="0"/>
                <w:sz w:val="24"/>
                <w:szCs w:val="21"/>
              </w:rPr>
              <w:t>旅游</w:t>
            </w:r>
          </w:p>
        </w:tc>
      </w:tr>
      <w:tr w14:paraId="1DEF8BB2">
        <w:tblPrEx>
          <w:tblCellMar>
            <w:top w:w="0" w:type="dxa"/>
            <w:left w:w="108" w:type="dxa"/>
            <w:bottom w:w="0" w:type="dxa"/>
            <w:right w:w="108" w:type="dxa"/>
          </w:tblCellMar>
        </w:tblPrEx>
        <w:trPr>
          <w:trHeight w:val="829"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62D854A9">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7</w:t>
            </w:r>
          </w:p>
        </w:tc>
        <w:tc>
          <w:tcPr>
            <w:tcW w:w="610" w:type="pct"/>
            <w:tcBorders>
              <w:top w:val="nil"/>
              <w:left w:val="nil"/>
              <w:bottom w:val="single" w:color="auto" w:sz="4" w:space="0"/>
              <w:right w:val="single" w:color="auto" w:sz="4" w:space="0"/>
            </w:tcBorders>
            <w:shd w:val="clear" w:color="auto" w:fill="auto"/>
            <w:vAlign w:val="center"/>
          </w:tcPr>
          <w:p w14:paraId="6D99F1B6">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海南致盛国际文化艺术中心</w:t>
            </w:r>
          </w:p>
        </w:tc>
        <w:tc>
          <w:tcPr>
            <w:tcW w:w="339" w:type="pct"/>
            <w:tcBorders>
              <w:top w:val="nil"/>
              <w:left w:val="nil"/>
              <w:bottom w:val="single" w:color="auto" w:sz="4" w:space="0"/>
              <w:right w:val="single" w:color="auto" w:sz="4" w:space="0"/>
            </w:tcBorders>
            <w:shd w:val="clear" w:color="auto" w:fill="auto"/>
            <w:vAlign w:val="center"/>
          </w:tcPr>
          <w:p w14:paraId="22EDFE58">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南桥镇</w:t>
            </w:r>
          </w:p>
        </w:tc>
        <w:tc>
          <w:tcPr>
            <w:tcW w:w="2551" w:type="pct"/>
            <w:tcBorders>
              <w:top w:val="nil"/>
              <w:left w:val="nil"/>
              <w:bottom w:val="single" w:color="auto" w:sz="4" w:space="0"/>
              <w:right w:val="single" w:color="auto" w:sz="4" w:space="0"/>
            </w:tcBorders>
            <w:shd w:val="clear" w:color="auto" w:fill="auto"/>
            <w:vAlign w:val="center"/>
          </w:tcPr>
          <w:p w14:paraId="1C9B989C">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项目</w:t>
            </w:r>
            <w:r>
              <w:rPr>
                <w:rFonts w:hint="eastAsia" w:ascii="仿宋_GB2312" w:hAnsi="仿宋_GB2312" w:eastAsia="仿宋_GB2312" w:cs="仿宋_GB2312"/>
                <w:bCs/>
                <w:color w:val="auto"/>
                <w:kern w:val="0"/>
                <w:sz w:val="24"/>
                <w:szCs w:val="21"/>
              </w:rPr>
              <w:t>选址于南林社区红丰队，新建主体建筑含国际艺术展馆分为4层（-1至3层），</w:t>
            </w:r>
            <w:r>
              <w:rPr>
                <w:rFonts w:hint="eastAsia" w:ascii="仿宋_GB2312" w:hAnsi="仿宋_GB2312" w:eastAsia="仿宋_GB2312" w:cs="仿宋_GB2312"/>
                <w:bCs/>
                <w:color w:val="auto"/>
                <w:kern w:val="0"/>
                <w:sz w:val="24"/>
                <w:szCs w:val="21"/>
                <w:lang w:val="en-US" w:eastAsia="zh-CN"/>
              </w:rPr>
              <w:t>包含</w:t>
            </w:r>
            <w:r>
              <w:rPr>
                <w:rFonts w:hint="eastAsia" w:ascii="仿宋_GB2312" w:hAnsi="仿宋_GB2312" w:eastAsia="仿宋_GB2312" w:cs="仿宋_GB2312"/>
                <w:bCs/>
                <w:color w:val="auto"/>
                <w:kern w:val="0"/>
                <w:sz w:val="24"/>
                <w:szCs w:val="21"/>
              </w:rPr>
              <w:t>文化</w:t>
            </w:r>
            <w:r>
              <w:rPr>
                <w:rFonts w:hint="eastAsia" w:cs="仿宋_GB2312"/>
                <w:bCs/>
                <w:color w:val="auto"/>
                <w:kern w:val="0"/>
                <w:sz w:val="24"/>
                <w:szCs w:val="21"/>
                <w:lang w:val="en-US" w:eastAsia="zh-CN"/>
              </w:rPr>
              <w:t>展览</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民宿旅馆</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国际网球培训基地</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规划建设9</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10片标准化网球场，配套建设训练辅助用房（含体能训练室、器材储藏室）、运动员休息区及生态停车场。打造集文化艺术展示、创作交流与专业网球培训、赛事承办于一体的复合型文旅体育地标。</w:t>
            </w:r>
          </w:p>
        </w:tc>
        <w:tc>
          <w:tcPr>
            <w:tcW w:w="242" w:type="pct"/>
            <w:tcBorders>
              <w:top w:val="nil"/>
              <w:left w:val="nil"/>
              <w:bottom w:val="single" w:color="auto" w:sz="4" w:space="0"/>
              <w:right w:val="single" w:color="auto" w:sz="4" w:space="0"/>
            </w:tcBorders>
            <w:shd w:val="clear" w:color="auto" w:fill="auto"/>
            <w:vAlign w:val="center"/>
          </w:tcPr>
          <w:p w14:paraId="072DCE12">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79DA7CB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8000</w:t>
            </w:r>
          </w:p>
        </w:tc>
        <w:tc>
          <w:tcPr>
            <w:tcW w:w="385" w:type="pct"/>
            <w:tcBorders>
              <w:top w:val="nil"/>
              <w:left w:val="nil"/>
              <w:bottom w:val="single" w:color="auto" w:sz="4" w:space="0"/>
              <w:right w:val="single" w:color="auto" w:sz="4" w:space="0"/>
            </w:tcBorders>
            <w:shd w:val="clear" w:color="auto" w:fill="auto"/>
            <w:vAlign w:val="center"/>
          </w:tcPr>
          <w:p w14:paraId="52596B3C">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107F949E">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文化旅游</w:t>
            </w:r>
          </w:p>
        </w:tc>
      </w:tr>
      <w:tr w14:paraId="641CFD92">
        <w:tblPrEx>
          <w:tblCellMar>
            <w:top w:w="0" w:type="dxa"/>
            <w:left w:w="108" w:type="dxa"/>
            <w:bottom w:w="0" w:type="dxa"/>
            <w:right w:w="108" w:type="dxa"/>
          </w:tblCellMar>
        </w:tblPrEx>
        <w:trPr>
          <w:trHeight w:val="604"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42A6BF2E">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8</w:t>
            </w:r>
          </w:p>
        </w:tc>
        <w:tc>
          <w:tcPr>
            <w:tcW w:w="610" w:type="pct"/>
            <w:tcBorders>
              <w:top w:val="nil"/>
              <w:left w:val="nil"/>
              <w:bottom w:val="single" w:color="auto" w:sz="4" w:space="0"/>
              <w:right w:val="single" w:color="auto" w:sz="4" w:space="0"/>
            </w:tcBorders>
            <w:shd w:val="clear" w:color="auto" w:fill="auto"/>
            <w:vAlign w:val="center"/>
          </w:tcPr>
          <w:p w14:paraId="768FBC9A">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海南国际养生城一期君澜度假酒店</w:t>
            </w:r>
          </w:p>
        </w:tc>
        <w:tc>
          <w:tcPr>
            <w:tcW w:w="339" w:type="pct"/>
            <w:tcBorders>
              <w:top w:val="nil"/>
              <w:left w:val="nil"/>
              <w:bottom w:val="single" w:color="auto" w:sz="4" w:space="0"/>
              <w:right w:val="single" w:color="auto" w:sz="4" w:space="0"/>
            </w:tcBorders>
            <w:shd w:val="clear" w:color="auto" w:fill="auto"/>
            <w:vAlign w:val="center"/>
          </w:tcPr>
          <w:p w14:paraId="0497E37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长丰镇</w:t>
            </w:r>
          </w:p>
        </w:tc>
        <w:tc>
          <w:tcPr>
            <w:tcW w:w="2551" w:type="pct"/>
            <w:tcBorders>
              <w:top w:val="nil"/>
              <w:left w:val="nil"/>
              <w:bottom w:val="single" w:color="auto" w:sz="4" w:space="0"/>
              <w:right w:val="single" w:color="auto" w:sz="4" w:space="0"/>
            </w:tcBorders>
            <w:shd w:val="clear" w:color="auto" w:fill="auto"/>
            <w:vAlign w:val="center"/>
          </w:tcPr>
          <w:p w14:paraId="0B9ED78B">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lang w:eastAsia="zh-CN"/>
              </w:rPr>
              <w:t>建设酒店主楼3栋（5-7层），酒店配套办公楼1栋（5层），合院客房18个组团（2层）。</w:t>
            </w:r>
          </w:p>
        </w:tc>
        <w:tc>
          <w:tcPr>
            <w:tcW w:w="242" w:type="pct"/>
            <w:tcBorders>
              <w:top w:val="nil"/>
              <w:left w:val="nil"/>
              <w:bottom w:val="single" w:color="auto" w:sz="4" w:space="0"/>
              <w:right w:val="single" w:color="auto" w:sz="4" w:space="0"/>
            </w:tcBorders>
            <w:shd w:val="clear" w:color="auto" w:fill="auto"/>
            <w:vAlign w:val="center"/>
          </w:tcPr>
          <w:p w14:paraId="415492D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6ABB7CCF">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70000</w:t>
            </w:r>
          </w:p>
        </w:tc>
        <w:tc>
          <w:tcPr>
            <w:tcW w:w="385" w:type="pct"/>
            <w:tcBorders>
              <w:top w:val="nil"/>
              <w:left w:val="nil"/>
              <w:bottom w:val="single" w:color="auto" w:sz="4" w:space="0"/>
              <w:right w:val="single" w:color="auto" w:sz="4" w:space="0"/>
            </w:tcBorders>
            <w:shd w:val="clear" w:color="auto" w:fill="auto"/>
            <w:vAlign w:val="center"/>
          </w:tcPr>
          <w:p w14:paraId="6BE2E3D2">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19</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26</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60F3A17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康养</w:t>
            </w:r>
            <w:r>
              <w:rPr>
                <w:rFonts w:hint="eastAsia" w:ascii="仿宋_GB2312" w:hAnsi="仿宋_GB2312" w:eastAsia="仿宋_GB2312" w:cs="仿宋_GB2312"/>
                <w:bCs/>
                <w:color w:val="auto"/>
                <w:kern w:val="0"/>
                <w:sz w:val="24"/>
                <w:szCs w:val="21"/>
              </w:rPr>
              <w:t>旅游</w:t>
            </w:r>
          </w:p>
        </w:tc>
      </w:tr>
      <w:tr w14:paraId="500C06DB">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FCF11C4">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9</w:t>
            </w:r>
          </w:p>
        </w:tc>
        <w:tc>
          <w:tcPr>
            <w:tcW w:w="610" w:type="pct"/>
            <w:tcBorders>
              <w:top w:val="nil"/>
              <w:left w:val="nil"/>
              <w:bottom w:val="single" w:color="auto" w:sz="4" w:space="0"/>
              <w:right w:val="single" w:color="auto" w:sz="4" w:space="0"/>
            </w:tcBorders>
            <w:shd w:val="clear" w:color="auto" w:fill="auto"/>
            <w:vAlign w:val="center"/>
          </w:tcPr>
          <w:p w14:paraId="45C24B3D">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兴隆国家森林公园项目</w:t>
            </w:r>
          </w:p>
        </w:tc>
        <w:tc>
          <w:tcPr>
            <w:tcW w:w="339" w:type="pct"/>
            <w:tcBorders>
              <w:top w:val="nil"/>
              <w:left w:val="nil"/>
              <w:bottom w:val="single" w:color="auto" w:sz="4" w:space="0"/>
              <w:right w:val="single" w:color="auto" w:sz="4" w:space="0"/>
            </w:tcBorders>
            <w:shd w:val="clear" w:color="auto" w:fill="auto"/>
            <w:vAlign w:val="center"/>
          </w:tcPr>
          <w:p w14:paraId="1911BD2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7C4CF8AD">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①</w:t>
            </w:r>
            <w:r>
              <w:rPr>
                <w:rFonts w:hint="eastAsia" w:ascii="仿宋_GB2312" w:hAnsi="仿宋_GB2312" w:eastAsia="仿宋_GB2312" w:cs="仿宋_GB2312"/>
                <w:bCs/>
                <w:color w:val="auto"/>
                <w:kern w:val="0"/>
                <w:sz w:val="24"/>
                <w:szCs w:val="21"/>
                <w:lang w:val="en-US" w:eastAsia="zh-CN" w:bidi="ar-SA"/>
              </w:rPr>
              <w:t>打造国家森林公园建设项目。公园分为凤凰岭和热带花园两大片区，拟新建健身步道，提升改造健身步道、骑行道，沿线建设补给站、观景平台、森林廊架庇护所、露营基地，设置标识标牌等。利用生产队现有闲置房屋改造赛事服务中心，配备选手休息区、医疗急救点、赛事指挥室等；配套建设生态停车场，充电桩等基础设施。</w:t>
            </w:r>
          </w:p>
          <w:p w14:paraId="696EA094">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②</w:t>
            </w:r>
            <w:r>
              <w:rPr>
                <w:rFonts w:hint="eastAsia" w:ascii="仿宋_GB2312" w:hAnsi="仿宋_GB2312" w:eastAsia="仿宋_GB2312" w:cs="仿宋_GB2312"/>
                <w:bCs/>
                <w:color w:val="auto"/>
                <w:kern w:val="0"/>
                <w:sz w:val="24"/>
                <w:szCs w:val="21"/>
                <w:lang w:val="en-US" w:eastAsia="zh-CN" w:bidi="ar-SA"/>
              </w:rPr>
              <w:t>骑行健身步道。拟新建健身步道，提升改造健身步道、骑行道，完善国家绿道的公共服务设施，沿线建设补给站、观景平台、森林廊架庇护所、露营基地，设置标识标牌等。利用生产队现有闲置房屋改造赛事服务中心，配备选手休息区、医疗急救点、赛事指挥室等；配套建设生态停车场，充电桩等基础设施。</w:t>
            </w:r>
          </w:p>
          <w:p w14:paraId="259707DE">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③</w:t>
            </w:r>
            <w:r>
              <w:rPr>
                <w:rFonts w:hint="eastAsia" w:ascii="仿宋_GB2312" w:hAnsi="仿宋_GB2312" w:eastAsia="仿宋_GB2312" w:cs="仿宋_GB2312"/>
                <w:bCs/>
                <w:color w:val="auto"/>
                <w:kern w:val="0"/>
                <w:sz w:val="24"/>
                <w:szCs w:val="21"/>
                <w:lang w:val="en-US" w:eastAsia="zh-CN" w:bidi="ar-SA"/>
              </w:rPr>
              <w:t>国家森林公园自然教育文化科普设施。一是建设自然教育之家，利用公园内闲置房屋改造自然教育之家，保留南洋建筑风格，不扩大现有建设用地。二是配备科普教育设施，包括雨林生态展陈区、互动教学区、配备多媒体教学设备；建设林下科普步道，沿线设置科普解说牌、观景平台；打造科研监测点为科普宣教点，向公众开放简易生态监测设备体验。三是配套旅游服务设施，主要打造侨乡生态科普馆、配套生态停车场、公共厕所、休憩驿站等。</w:t>
            </w:r>
          </w:p>
          <w:p w14:paraId="45AF2270">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④</w:t>
            </w:r>
            <w:r>
              <w:rPr>
                <w:rFonts w:hint="eastAsia" w:ascii="仿宋_GB2312" w:hAnsi="仿宋_GB2312" w:eastAsia="仿宋_GB2312" w:cs="仿宋_GB2312"/>
                <w:bCs/>
                <w:color w:val="auto"/>
                <w:kern w:val="0"/>
                <w:sz w:val="24"/>
                <w:szCs w:val="21"/>
                <w:lang w:val="en-US" w:eastAsia="zh-CN" w:bidi="ar-SA"/>
              </w:rPr>
              <w:t>开发建设自行车主题公园。集自行车运动、研学旅游、户外露营为一体的综合性营地，配备自行车泵道（硬化）、露营营地、游客服务中心、公共卫生间、仓储仓库、自行车文化博物馆、咖啡书吧、热带植物研学基地、兴隆侨乡文化长廊、兴隆咖啡工坊、丛林文化市集。</w:t>
            </w:r>
          </w:p>
        </w:tc>
        <w:tc>
          <w:tcPr>
            <w:tcW w:w="242" w:type="pct"/>
            <w:tcBorders>
              <w:top w:val="nil"/>
              <w:left w:val="nil"/>
              <w:bottom w:val="single" w:color="auto" w:sz="4" w:space="0"/>
              <w:right w:val="single" w:color="auto" w:sz="4" w:space="0"/>
            </w:tcBorders>
            <w:shd w:val="clear" w:color="auto" w:fill="auto"/>
            <w:vAlign w:val="center"/>
          </w:tcPr>
          <w:p w14:paraId="7D72FA3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6B0673F8">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60000</w:t>
            </w:r>
          </w:p>
        </w:tc>
        <w:tc>
          <w:tcPr>
            <w:tcW w:w="385" w:type="pct"/>
            <w:tcBorders>
              <w:top w:val="nil"/>
              <w:left w:val="nil"/>
              <w:bottom w:val="single" w:color="auto" w:sz="4" w:space="0"/>
              <w:right w:val="single" w:color="auto" w:sz="4" w:space="0"/>
            </w:tcBorders>
            <w:shd w:val="clear" w:color="auto" w:fill="auto"/>
            <w:vAlign w:val="center"/>
          </w:tcPr>
          <w:p w14:paraId="701462E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1A3A5478">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体育</w:t>
            </w:r>
            <w:r>
              <w:rPr>
                <w:rFonts w:hint="eastAsia" w:ascii="仿宋_GB2312" w:hAnsi="仿宋_GB2312" w:eastAsia="仿宋_GB2312" w:cs="仿宋_GB2312"/>
                <w:bCs/>
                <w:color w:val="auto"/>
                <w:kern w:val="0"/>
                <w:sz w:val="24"/>
                <w:szCs w:val="21"/>
              </w:rPr>
              <w:t>旅游</w:t>
            </w:r>
          </w:p>
        </w:tc>
      </w:tr>
      <w:tr w14:paraId="2EF2CE99">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2BF0E045">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rPr>
            </w:pPr>
            <w:r>
              <w:rPr>
                <w:rFonts w:hint="eastAsia" w:ascii="仿宋_GB2312" w:hAnsi="仿宋_GB2312" w:eastAsia="仿宋_GB2312" w:cs="仿宋_GB2312"/>
                <w:b/>
                <w:color w:val="auto"/>
                <w:kern w:val="0"/>
                <w:sz w:val="24"/>
                <w:szCs w:val="21"/>
                <w:lang w:val="en-US" w:eastAsia="zh-CN"/>
              </w:rPr>
              <w:t>10</w:t>
            </w:r>
          </w:p>
        </w:tc>
        <w:tc>
          <w:tcPr>
            <w:tcW w:w="610" w:type="pct"/>
            <w:tcBorders>
              <w:top w:val="nil"/>
              <w:left w:val="nil"/>
              <w:bottom w:val="single" w:color="auto" w:sz="4" w:space="0"/>
              <w:right w:val="single" w:color="auto" w:sz="4" w:space="0"/>
            </w:tcBorders>
            <w:shd w:val="clear" w:color="auto" w:fill="auto"/>
            <w:vAlign w:val="center"/>
          </w:tcPr>
          <w:p w14:paraId="664762DF">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盖娅康养圣地建设</w:t>
            </w:r>
          </w:p>
        </w:tc>
        <w:tc>
          <w:tcPr>
            <w:tcW w:w="339" w:type="pct"/>
            <w:tcBorders>
              <w:top w:val="nil"/>
              <w:left w:val="nil"/>
              <w:bottom w:val="single" w:color="auto" w:sz="4" w:space="0"/>
              <w:right w:val="single" w:color="auto" w:sz="4" w:space="0"/>
            </w:tcBorders>
            <w:shd w:val="clear" w:color="auto" w:fill="auto"/>
            <w:vAlign w:val="center"/>
          </w:tcPr>
          <w:p w14:paraId="6104C2A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龙滚镇</w:t>
            </w:r>
          </w:p>
        </w:tc>
        <w:tc>
          <w:tcPr>
            <w:tcW w:w="2551" w:type="pct"/>
            <w:tcBorders>
              <w:top w:val="nil"/>
              <w:left w:val="nil"/>
              <w:bottom w:val="single" w:color="auto" w:sz="4" w:space="0"/>
              <w:right w:val="single" w:color="auto" w:sz="4" w:space="0"/>
            </w:tcBorders>
            <w:shd w:val="clear" w:color="auto" w:fill="auto"/>
            <w:vAlign w:val="center"/>
          </w:tcPr>
          <w:p w14:paraId="1DFDD0C7">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项目主要建设内容包括：抗衰医美中心、康养酒店、膳食健康餐厅、中医休养馆、国际康养中心、温泉水疗中心、悦活动中心等康养项目。</w:t>
            </w:r>
          </w:p>
        </w:tc>
        <w:tc>
          <w:tcPr>
            <w:tcW w:w="242" w:type="pct"/>
            <w:tcBorders>
              <w:top w:val="nil"/>
              <w:left w:val="nil"/>
              <w:bottom w:val="single" w:color="auto" w:sz="4" w:space="0"/>
              <w:right w:val="single" w:color="auto" w:sz="4" w:space="0"/>
            </w:tcBorders>
            <w:shd w:val="clear" w:color="auto" w:fill="auto"/>
            <w:vAlign w:val="center"/>
          </w:tcPr>
          <w:p w14:paraId="65E4BC0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2747427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380000</w:t>
            </w:r>
          </w:p>
        </w:tc>
        <w:tc>
          <w:tcPr>
            <w:tcW w:w="385" w:type="pct"/>
            <w:tcBorders>
              <w:top w:val="nil"/>
              <w:left w:val="nil"/>
              <w:bottom w:val="single" w:color="auto" w:sz="4" w:space="0"/>
              <w:right w:val="single" w:color="auto" w:sz="4" w:space="0"/>
            </w:tcBorders>
            <w:shd w:val="clear" w:color="auto" w:fill="auto"/>
            <w:vAlign w:val="center"/>
          </w:tcPr>
          <w:p w14:paraId="48FAF965">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24</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150C555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康养</w:t>
            </w:r>
            <w:r>
              <w:rPr>
                <w:rFonts w:hint="eastAsia" w:ascii="仿宋_GB2312" w:hAnsi="仿宋_GB2312" w:eastAsia="仿宋_GB2312" w:cs="仿宋_GB2312"/>
                <w:bCs/>
                <w:color w:val="auto"/>
                <w:kern w:val="0"/>
                <w:sz w:val="24"/>
                <w:szCs w:val="21"/>
              </w:rPr>
              <w:t>旅游</w:t>
            </w:r>
          </w:p>
        </w:tc>
      </w:tr>
      <w:tr w14:paraId="6A3B85AD">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2B8E3CCF">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rPr>
              <w:t>11</w:t>
            </w:r>
          </w:p>
        </w:tc>
        <w:tc>
          <w:tcPr>
            <w:tcW w:w="610" w:type="pct"/>
            <w:tcBorders>
              <w:top w:val="nil"/>
              <w:left w:val="nil"/>
              <w:bottom w:val="single" w:color="auto" w:sz="4" w:space="0"/>
              <w:right w:val="single" w:color="auto" w:sz="4" w:space="0"/>
            </w:tcBorders>
            <w:shd w:val="clear" w:color="auto" w:fill="auto"/>
            <w:vAlign w:val="center"/>
          </w:tcPr>
          <w:p w14:paraId="08D0CBC6">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南国东南亚旅游度假区</w:t>
            </w:r>
          </w:p>
        </w:tc>
        <w:tc>
          <w:tcPr>
            <w:tcW w:w="339" w:type="pct"/>
            <w:tcBorders>
              <w:top w:val="nil"/>
              <w:left w:val="nil"/>
              <w:bottom w:val="single" w:color="auto" w:sz="4" w:space="0"/>
              <w:right w:val="single" w:color="auto" w:sz="4" w:space="0"/>
            </w:tcBorders>
            <w:shd w:val="clear" w:color="auto" w:fill="auto"/>
            <w:vAlign w:val="center"/>
          </w:tcPr>
          <w:p w14:paraId="48B826F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6196C0C3">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项目将现有的巴厘村景区与周边的人工湖泊、栈道融合，建设情景摄影基地、水上集市、泰国民俗风情、马来村生态民宿等七个区；将旅游线路分为陆上、水上、步行旅游环线三种，通过泰国“突突车”、木船巡游、水上栈道、水上市场等，打造归侨文化旅游融合体。</w:t>
            </w:r>
          </w:p>
        </w:tc>
        <w:tc>
          <w:tcPr>
            <w:tcW w:w="242" w:type="pct"/>
            <w:tcBorders>
              <w:top w:val="nil"/>
              <w:left w:val="nil"/>
              <w:bottom w:val="single" w:color="auto" w:sz="4" w:space="0"/>
              <w:right w:val="single" w:color="auto" w:sz="4" w:space="0"/>
            </w:tcBorders>
            <w:shd w:val="clear" w:color="auto" w:fill="auto"/>
            <w:vAlign w:val="center"/>
          </w:tcPr>
          <w:p w14:paraId="25EC90F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1D113401">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50000</w:t>
            </w:r>
          </w:p>
        </w:tc>
        <w:tc>
          <w:tcPr>
            <w:tcW w:w="385" w:type="pct"/>
            <w:tcBorders>
              <w:top w:val="nil"/>
              <w:left w:val="nil"/>
              <w:bottom w:val="single" w:color="auto" w:sz="4" w:space="0"/>
              <w:right w:val="single" w:color="auto" w:sz="4" w:space="0"/>
            </w:tcBorders>
            <w:shd w:val="clear" w:color="auto" w:fill="auto"/>
            <w:vAlign w:val="center"/>
          </w:tcPr>
          <w:p w14:paraId="3CC50D1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2026—20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3B4CBD49">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文化旅游</w:t>
            </w:r>
          </w:p>
        </w:tc>
      </w:tr>
      <w:tr w14:paraId="0DF5ED8B">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0C87E5FE">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rPr>
              <w:t>12</w:t>
            </w:r>
          </w:p>
        </w:tc>
        <w:tc>
          <w:tcPr>
            <w:tcW w:w="610" w:type="pct"/>
            <w:tcBorders>
              <w:top w:val="nil"/>
              <w:left w:val="nil"/>
              <w:bottom w:val="single" w:color="auto" w:sz="4" w:space="0"/>
              <w:right w:val="single" w:color="auto" w:sz="4" w:space="0"/>
            </w:tcBorders>
            <w:shd w:val="clear" w:color="auto" w:fill="auto"/>
            <w:vAlign w:val="center"/>
          </w:tcPr>
          <w:p w14:paraId="4599B971">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万宁市神州半岛银河湾高端酒店项目</w:t>
            </w:r>
          </w:p>
        </w:tc>
        <w:tc>
          <w:tcPr>
            <w:tcW w:w="339" w:type="pct"/>
            <w:tcBorders>
              <w:top w:val="nil"/>
              <w:left w:val="nil"/>
              <w:bottom w:val="single" w:color="auto" w:sz="4" w:space="0"/>
              <w:right w:val="single" w:color="auto" w:sz="4" w:space="0"/>
            </w:tcBorders>
            <w:shd w:val="clear" w:color="auto" w:fill="auto"/>
            <w:vAlign w:val="center"/>
          </w:tcPr>
          <w:p w14:paraId="57F1C0C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万宁市</w:t>
            </w:r>
          </w:p>
        </w:tc>
        <w:tc>
          <w:tcPr>
            <w:tcW w:w="2551" w:type="pct"/>
            <w:tcBorders>
              <w:top w:val="nil"/>
              <w:left w:val="nil"/>
              <w:bottom w:val="single" w:color="auto" w:sz="4" w:space="0"/>
              <w:right w:val="single" w:color="auto" w:sz="4" w:space="0"/>
            </w:tcBorders>
            <w:shd w:val="clear" w:color="auto" w:fill="auto"/>
            <w:vAlign w:val="center"/>
          </w:tcPr>
          <w:p w14:paraId="28055C7F">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打造银河湾高端酒店项目。项目建设内容包括两座六星级旅游度假酒店，完善生态居住区及其配套商业，涵盖餐饮、购物、娱乐等多种业态。</w:t>
            </w:r>
          </w:p>
        </w:tc>
        <w:tc>
          <w:tcPr>
            <w:tcW w:w="242" w:type="pct"/>
            <w:tcBorders>
              <w:top w:val="nil"/>
              <w:left w:val="nil"/>
              <w:bottom w:val="single" w:color="auto" w:sz="4" w:space="0"/>
              <w:right w:val="single" w:color="auto" w:sz="4" w:space="0"/>
            </w:tcBorders>
            <w:shd w:val="clear" w:color="auto" w:fill="auto"/>
            <w:vAlign w:val="center"/>
          </w:tcPr>
          <w:p w14:paraId="1CE8D2C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0E499F9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110000</w:t>
            </w:r>
          </w:p>
        </w:tc>
        <w:tc>
          <w:tcPr>
            <w:tcW w:w="385" w:type="pct"/>
            <w:tcBorders>
              <w:top w:val="nil"/>
              <w:left w:val="nil"/>
              <w:bottom w:val="single" w:color="auto" w:sz="4" w:space="0"/>
              <w:right w:val="single" w:color="auto" w:sz="4" w:space="0"/>
            </w:tcBorders>
            <w:shd w:val="clear" w:color="auto" w:fill="auto"/>
            <w:vAlign w:val="center"/>
          </w:tcPr>
          <w:p w14:paraId="420013EF">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—2028年</w:t>
            </w:r>
          </w:p>
        </w:tc>
        <w:tc>
          <w:tcPr>
            <w:tcW w:w="258" w:type="pct"/>
            <w:tcBorders>
              <w:top w:val="nil"/>
              <w:left w:val="nil"/>
              <w:bottom w:val="single" w:color="auto" w:sz="4" w:space="0"/>
              <w:right w:val="single" w:color="auto" w:sz="4" w:space="0"/>
            </w:tcBorders>
            <w:shd w:val="clear" w:color="auto" w:fill="auto"/>
            <w:vAlign w:val="center"/>
          </w:tcPr>
          <w:p w14:paraId="6F1F052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旅游</w:t>
            </w:r>
            <w:r>
              <w:rPr>
                <w:rFonts w:hint="eastAsia" w:ascii="仿宋_GB2312" w:hAnsi="仿宋_GB2312" w:eastAsia="仿宋_GB2312" w:cs="仿宋_GB2312"/>
                <w:bCs/>
                <w:color w:val="auto"/>
                <w:kern w:val="0"/>
                <w:sz w:val="24"/>
                <w:szCs w:val="21"/>
                <w:lang w:val="en-US" w:eastAsia="zh-CN"/>
              </w:rPr>
              <w:t>住宿</w:t>
            </w:r>
          </w:p>
        </w:tc>
      </w:tr>
      <w:tr w14:paraId="440DB40F">
        <w:tblPrEx>
          <w:tblCellMar>
            <w:top w:w="0" w:type="dxa"/>
            <w:left w:w="108" w:type="dxa"/>
            <w:bottom w:w="0" w:type="dxa"/>
            <w:right w:w="108" w:type="dxa"/>
          </w:tblCellMar>
        </w:tblPrEx>
        <w:trPr>
          <w:trHeight w:val="243" w:hRule="atLeast"/>
        </w:trPr>
        <w:tc>
          <w:tcPr>
            <w:tcW w:w="237" w:type="pct"/>
            <w:tcBorders>
              <w:top w:val="single" w:color="auto" w:sz="4" w:space="0"/>
              <w:left w:val="single" w:color="auto" w:sz="4" w:space="0"/>
              <w:bottom w:val="single" w:color="auto" w:sz="4" w:space="0"/>
              <w:right w:val="single" w:color="auto" w:sz="4" w:space="0"/>
            </w:tcBorders>
            <w:shd w:val="clear" w:color="000000" w:fill="FFFFFF"/>
            <w:vAlign w:val="center"/>
          </w:tcPr>
          <w:p w14:paraId="3712810B">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rPr>
              <w:t>13</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5378E80">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南桥·三叶林hevea旅游度假村项目</w:t>
            </w:r>
          </w:p>
        </w:tc>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14:paraId="7F0885ED">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南桥镇</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14:paraId="7CFFF007">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lang w:eastAsia="zh-CN"/>
              </w:rPr>
              <w:t>拟在桥北村委会建设南桥·三叶林hevea旅游度假村。建设内容为房车露营区、高端康养区，其中房车露营区包含接待中心、餐饮中心、木屋区、微宿区、天幕露营区等；高端康养区包含木屋区、别院区等。</w:t>
            </w:r>
          </w:p>
        </w:tc>
        <w:tc>
          <w:tcPr>
            <w:tcW w:w="242" w:type="pct"/>
            <w:tcBorders>
              <w:top w:val="single" w:color="auto" w:sz="4" w:space="0"/>
              <w:left w:val="single" w:color="auto" w:sz="4" w:space="0"/>
              <w:bottom w:val="single" w:color="auto" w:sz="4" w:space="0"/>
              <w:right w:val="single" w:color="auto" w:sz="4" w:space="0"/>
            </w:tcBorders>
            <w:shd w:val="clear" w:color="auto" w:fill="auto"/>
            <w:vAlign w:val="center"/>
          </w:tcPr>
          <w:p w14:paraId="3E59B5A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single" w:color="auto" w:sz="4" w:space="0"/>
              <w:left w:val="single" w:color="auto" w:sz="4" w:space="0"/>
              <w:bottom w:val="single" w:color="auto" w:sz="4" w:space="0"/>
              <w:right w:val="single" w:color="auto" w:sz="4" w:space="0"/>
            </w:tcBorders>
            <w:shd w:val="clear" w:color="auto" w:fill="auto"/>
            <w:vAlign w:val="center"/>
          </w:tcPr>
          <w:p w14:paraId="05E223B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16900</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BC647C5">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2026—202</w:t>
            </w:r>
            <w:r>
              <w:rPr>
                <w:rFonts w:hint="eastAsia" w:ascii="仿宋_GB2312" w:hAnsi="仿宋_GB2312" w:eastAsia="仿宋_GB2312" w:cs="仿宋_GB2312"/>
                <w:bCs/>
                <w:color w:val="auto"/>
                <w:kern w:val="0"/>
                <w:sz w:val="24"/>
                <w:szCs w:val="21"/>
                <w:lang w:val="en-US" w:eastAsia="zh-CN"/>
              </w:rPr>
              <w:t>9</w:t>
            </w:r>
            <w:r>
              <w:rPr>
                <w:rFonts w:hint="eastAsia" w:ascii="仿宋_GB2312" w:hAnsi="仿宋_GB2312" w:eastAsia="仿宋_GB2312" w:cs="仿宋_GB2312"/>
                <w:bCs/>
                <w:color w:val="auto"/>
                <w:kern w:val="0"/>
                <w:sz w:val="24"/>
                <w:szCs w:val="21"/>
              </w:rPr>
              <w:t>年</w:t>
            </w:r>
          </w:p>
        </w:tc>
        <w:tc>
          <w:tcPr>
            <w:tcW w:w="258" w:type="pct"/>
            <w:tcBorders>
              <w:top w:val="single" w:color="auto" w:sz="4" w:space="0"/>
              <w:left w:val="single" w:color="auto" w:sz="4" w:space="0"/>
              <w:bottom w:val="single" w:color="auto" w:sz="4" w:space="0"/>
              <w:right w:val="single" w:color="auto" w:sz="4" w:space="0"/>
            </w:tcBorders>
            <w:shd w:val="clear" w:color="auto" w:fill="auto"/>
            <w:vAlign w:val="center"/>
          </w:tcPr>
          <w:p w14:paraId="4E2FDCC9">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rPr>
              <w:t>旅游</w:t>
            </w:r>
            <w:r>
              <w:rPr>
                <w:rFonts w:hint="eastAsia" w:ascii="仿宋_GB2312" w:hAnsi="仿宋_GB2312" w:eastAsia="仿宋_GB2312" w:cs="仿宋_GB2312"/>
                <w:bCs/>
                <w:color w:val="auto"/>
                <w:kern w:val="0"/>
                <w:sz w:val="24"/>
                <w:szCs w:val="21"/>
                <w:lang w:val="en-US" w:eastAsia="zh-CN"/>
              </w:rPr>
              <w:t>住宿</w:t>
            </w:r>
          </w:p>
        </w:tc>
      </w:tr>
      <w:tr w14:paraId="1FB22950">
        <w:tblPrEx>
          <w:tblCellMar>
            <w:top w:w="0" w:type="dxa"/>
            <w:left w:w="108" w:type="dxa"/>
            <w:bottom w:w="0" w:type="dxa"/>
            <w:right w:w="108" w:type="dxa"/>
          </w:tblCellMar>
        </w:tblPrEx>
        <w:trPr>
          <w:trHeight w:val="90" w:hRule="atLeast"/>
        </w:trPr>
        <w:tc>
          <w:tcPr>
            <w:tcW w:w="237" w:type="pct"/>
            <w:tcBorders>
              <w:top w:val="single" w:color="auto" w:sz="4" w:space="0"/>
              <w:left w:val="single" w:color="auto" w:sz="4" w:space="0"/>
              <w:bottom w:val="single" w:color="auto" w:sz="4" w:space="0"/>
              <w:right w:val="single" w:color="auto" w:sz="4" w:space="0"/>
            </w:tcBorders>
            <w:shd w:val="clear" w:color="000000" w:fill="FFFFFF"/>
            <w:vAlign w:val="center"/>
          </w:tcPr>
          <w:p w14:paraId="274C68BE">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rPr>
              <w:t>14</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6666B2A6">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bidi="ar-SA"/>
              </w:rPr>
              <w:t>万宁市后安镇斑斓自在营地项目</w:t>
            </w:r>
          </w:p>
        </w:tc>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14:paraId="19DD1185">
            <w:pPr>
              <w:widowControl/>
              <w:spacing w:line="240" w:lineRule="auto"/>
              <w:ind w:firstLine="0" w:firstLineChars="0"/>
              <w:jc w:val="center"/>
              <w:rPr>
                <w:rFonts w:hint="eastAsia" w:ascii="仿宋_GB2312" w:hAnsi="仿宋_GB2312" w:eastAsia="仿宋_GB2312" w:cs="仿宋_GB2312"/>
                <w:b w:val="0"/>
                <w:bCs/>
                <w:color w:val="auto"/>
                <w:kern w:val="0"/>
                <w:sz w:val="24"/>
                <w:szCs w:val="21"/>
                <w:lang w:val="en-US" w:eastAsia="zh-CN" w:bidi="ar-SA"/>
              </w:rPr>
            </w:pPr>
            <w:r>
              <w:rPr>
                <w:rFonts w:hint="eastAsia" w:ascii="仿宋_GB2312" w:hAnsi="仿宋_GB2312" w:eastAsia="仿宋_GB2312" w:cs="仿宋_GB2312"/>
                <w:b w:val="0"/>
                <w:bCs/>
                <w:color w:val="auto"/>
                <w:kern w:val="0"/>
                <w:sz w:val="24"/>
                <w:szCs w:val="21"/>
                <w:lang w:val="en-US" w:eastAsia="zh-CN" w:bidi="ar-SA"/>
              </w:rPr>
              <w:t>后安镇</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14:paraId="0C399D1E">
            <w:pPr>
              <w:widowControl/>
              <w:spacing w:line="240" w:lineRule="auto"/>
              <w:ind w:firstLine="0" w:firstLineChars="0"/>
              <w:jc w:val="left"/>
              <w:rPr>
                <w:rFonts w:hint="eastAsia" w:ascii="仿宋_GB2312" w:hAnsi="仿宋_GB2312" w:eastAsia="仿宋_GB2312" w:cs="仿宋_GB2312"/>
                <w:b w:val="0"/>
                <w:bCs/>
                <w:color w:val="auto"/>
                <w:kern w:val="0"/>
                <w:sz w:val="24"/>
                <w:szCs w:val="21"/>
                <w:lang w:val="en-US" w:eastAsia="zh-CN" w:bidi="ar-SA"/>
              </w:rPr>
            </w:pPr>
            <w:r>
              <w:rPr>
                <w:rFonts w:hint="eastAsia" w:ascii="仿宋_GB2312" w:hAnsi="仿宋_GB2312" w:eastAsia="仿宋_GB2312" w:cs="仿宋_GB2312"/>
                <w:b w:val="0"/>
                <w:bCs/>
                <w:color w:val="auto"/>
                <w:kern w:val="0"/>
                <w:sz w:val="24"/>
                <w:szCs w:val="21"/>
                <w:lang w:val="en-US" w:eastAsia="zh-CN" w:bidi="ar-SA"/>
              </w:rPr>
              <w:t>以共享农庄为核心思路，将特色农业产业作为基础产业，打造以研学、营地为引擎，以休闲度假为辅助的综合性共享农庄，建设集“农林研学”“自在游乐”“自在度假”“热带营地”于一体的乡村亲子度假休闲基地。</w:t>
            </w:r>
          </w:p>
        </w:tc>
        <w:tc>
          <w:tcPr>
            <w:tcW w:w="242" w:type="pct"/>
            <w:tcBorders>
              <w:top w:val="single" w:color="auto" w:sz="4" w:space="0"/>
              <w:left w:val="single" w:color="auto" w:sz="4" w:space="0"/>
              <w:bottom w:val="single" w:color="auto" w:sz="4" w:space="0"/>
              <w:right w:val="single" w:color="auto" w:sz="4" w:space="0"/>
            </w:tcBorders>
            <w:shd w:val="clear" w:color="auto" w:fill="auto"/>
            <w:vAlign w:val="center"/>
          </w:tcPr>
          <w:p w14:paraId="2715193D">
            <w:pPr>
              <w:widowControl/>
              <w:spacing w:line="240" w:lineRule="auto"/>
              <w:ind w:firstLine="0" w:firstLineChars="0"/>
              <w:jc w:val="center"/>
              <w:rPr>
                <w:rFonts w:hint="eastAsia" w:ascii="仿宋_GB2312" w:hAnsi="仿宋_GB2312" w:eastAsia="仿宋_GB2312" w:cs="仿宋_GB2312"/>
                <w:bCs/>
                <w:color w:val="auto"/>
                <w:kern w:val="0"/>
                <w:sz w:val="24"/>
                <w:lang w:val="en-US" w:eastAsia="zh-CN"/>
              </w:rPr>
            </w:pPr>
            <w:r>
              <w:rPr>
                <w:rFonts w:hint="eastAsia" w:ascii="仿宋_GB2312" w:hAnsi="仿宋_GB2312" w:eastAsia="仿宋_GB2312" w:cs="仿宋_GB2312"/>
                <w:bCs/>
                <w:color w:val="auto"/>
                <w:kern w:val="0"/>
                <w:sz w:val="24"/>
                <w:lang w:val="en-US" w:eastAsia="zh-CN"/>
              </w:rPr>
              <w:t>新建</w:t>
            </w:r>
          </w:p>
        </w:tc>
        <w:tc>
          <w:tcPr>
            <w:tcW w:w="372" w:type="pct"/>
            <w:tcBorders>
              <w:top w:val="single" w:color="auto" w:sz="4" w:space="0"/>
              <w:left w:val="single" w:color="auto" w:sz="4" w:space="0"/>
              <w:bottom w:val="single" w:color="auto" w:sz="4" w:space="0"/>
              <w:right w:val="single" w:color="auto" w:sz="4" w:space="0"/>
            </w:tcBorders>
            <w:shd w:val="clear" w:color="auto" w:fill="auto"/>
            <w:vAlign w:val="center"/>
          </w:tcPr>
          <w:p w14:paraId="40F7C0F8">
            <w:pPr>
              <w:widowControl/>
              <w:spacing w:line="240" w:lineRule="auto"/>
              <w:ind w:firstLine="0" w:firstLineChars="0"/>
              <w:jc w:val="center"/>
              <w:rPr>
                <w:rFonts w:hint="eastAsia" w:ascii="仿宋_GB2312" w:hAnsi="仿宋_GB2312" w:eastAsia="仿宋_GB2312" w:cs="仿宋_GB2312"/>
                <w:color w:val="auto"/>
                <w:kern w:val="2"/>
                <w:sz w:val="32"/>
                <w:szCs w:val="24"/>
                <w:lang w:val="en-US" w:eastAsia="zh-CN" w:bidi="ar-SA"/>
              </w:rPr>
            </w:pPr>
            <w:r>
              <w:rPr>
                <w:rFonts w:hint="eastAsia" w:ascii="仿宋_GB2312" w:hAnsi="仿宋_GB2312" w:eastAsia="仿宋_GB2312" w:cs="仿宋_GB2312"/>
                <w:bCs/>
                <w:color w:val="auto"/>
                <w:kern w:val="0"/>
                <w:sz w:val="24"/>
                <w:lang w:val="en-US" w:eastAsia="zh-CN"/>
              </w:rPr>
              <w:t>11000</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1F3418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single" w:color="auto" w:sz="4" w:space="0"/>
              <w:left w:val="single" w:color="auto" w:sz="4" w:space="0"/>
              <w:bottom w:val="single" w:color="auto" w:sz="4" w:space="0"/>
              <w:right w:val="single" w:color="auto" w:sz="4" w:space="0"/>
            </w:tcBorders>
            <w:shd w:val="clear" w:color="auto" w:fill="auto"/>
            <w:vAlign w:val="center"/>
          </w:tcPr>
          <w:p w14:paraId="1280CECF">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lang w:val="en-US" w:eastAsia="zh-CN"/>
              </w:rPr>
              <w:t>研学</w:t>
            </w:r>
            <w:r>
              <w:rPr>
                <w:rFonts w:hint="eastAsia" w:ascii="仿宋_GB2312" w:hAnsi="仿宋_GB2312" w:eastAsia="仿宋_GB2312" w:cs="仿宋_GB2312"/>
                <w:bCs/>
                <w:color w:val="auto"/>
                <w:kern w:val="0"/>
                <w:sz w:val="24"/>
              </w:rPr>
              <w:t>旅游</w:t>
            </w:r>
          </w:p>
        </w:tc>
      </w:tr>
      <w:tr w14:paraId="7E75C445">
        <w:tblPrEx>
          <w:tblCellMar>
            <w:top w:w="0" w:type="dxa"/>
            <w:left w:w="108" w:type="dxa"/>
            <w:bottom w:w="0" w:type="dxa"/>
            <w:right w:w="108" w:type="dxa"/>
          </w:tblCellMar>
        </w:tblPrEx>
        <w:trPr>
          <w:trHeight w:val="403" w:hRule="atLeast"/>
        </w:trPr>
        <w:tc>
          <w:tcPr>
            <w:tcW w:w="3740" w:type="pct"/>
            <w:gridSpan w:val="4"/>
            <w:tcBorders>
              <w:top w:val="nil"/>
              <w:left w:val="single" w:color="auto" w:sz="4" w:space="0"/>
              <w:bottom w:val="single" w:color="auto" w:sz="4" w:space="0"/>
              <w:right w:val="single" w:color="auto" w:sz="4" w:space="0"/>
            </w:tcBorders>
            <w:shd w:val="clear" w:color="000000" w:fill="FFFFFF"/>
            <w:vAlign w:val="center"/>
          </w:tcPr>
          <w:p w14:paraId="6B6F27F5">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color w:val="auto"/>
                <w:kern w:val="0"/>
                <w:sz w:val="24"/>
                <w:szCs w:val="21"/>
              </w:rPr>
              <w:t>总投资额</w:t>
            </w:r>
          </w:p>
        </w:tc>
        <w:tc>
          <w:tcPr>
            <w:tcW w:w="1259" w:type="pct"/>
            <w:gridSpan w:val="4"/>
            <w:tcBorders>
              <w:top w:val="nil"/>
              <w:left w:val="nil"/>
              <w:bottom w:val="single" w:color="auto" w:sz="4" w:space="0"/>
              <w:right w:val="single" w:color="auto" w:sz="4" w:space="0"/>
            </w:tcBorders>
            <w:shd w:val="clear" w:color="auto" w:fill="auto"/>
            <w:vAlign w:val="center"/>
          </w:tcPr>
          <w:p w14:paraId="3A3A9B0C">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color w:val="auto"/>
                <w:kern w:val="0"/>
                <w:sz w:val="24"/>
                <w:szCs w:val="21"/>
              </w:rPr>
              <w:t>1905053.2</w:t>
            </w:r>
            <w:r>
              <w:rPr>
                <w:rFonts w:hint="eastAsia" w:ascii="仿宋_GB2312" w:hAnsi="仿宋_GB2312" w:eastAsia="仿宋_GB2312" w:cs="仿宋_GB2312"/>
                <w:b/>
                <w:bCs w:val="0"/>
                <w:color w:val="auto"/>
                <w:kern w:val="0"/>
                <w:sz w:val="24"/>
                <w:szCs w:val="21"/>
              </w:rPr>
              <w:t>万元</w:t>
            </w:r>
          </w:p>
        </w:tc>
      </w:tr>
    </w:tbl>
    <w:p w14:paraId="2E9655CA">
      <w:pPr>
        <w:ind w:left="0" w:leftChars="0" w:firstLine="0" w:firstLineChars="0"/>
        <w:rPr>
          <w:rFonts w:hint="eastAsia"/>
        </w:rPr>
      </w:pPr>
      <w:r>
        <w:rPr>
          <w:rFonts w:hint="eastAsia"/>
        </w:rPr>
        <w:br w:type="page"/>
      </w:r>
    </w:p>
    <w:p w14:paraId="4BC8A609">
      <w:pPr>
        <w:pStyle w:val="2"/>
        <w:shd w:val="clear"/>
        <w:spacing w:after="62"/>
        <w:ind w:firstLine="0" w:firstLineChars="0"/>
        <w:jc w:val="left"/>
        <w:rPr>
          <w:rFonts w:hint="eastAsia"/>
          <w:b w:val="0"/>
          <w:bCs/>
          <w:color w:val="auto"/>
          <w:sz w:val="36"/>
          <w:szCs w:val="48"/>
          <w:highlight w:val="none"/>
          <w:lang w:val="en-US" w:eastAsia="zh-CN"/>
        </w:rPr>
      </w:pPr>
      <w:bookmarkStart w:id="217" w:name="_Toc588"/>
      <w:bookmarkStart w:id="218" w:name="_Toc18218"/>
      <w:bookmarkStart w:id="219" w:name="_Toc18432"/>
      <w:r>
        <w:rPr>
          <w:rFonts w:hint="eastAsia"/>
          <w:b w:val="0"/>
          <w:bCs/>
          <w:color w:val="auto"/>
          <w:sz w:val="36"/>
          <w:szCs w:val="48"/>
          <w:highlight w:val="none"/>
          <w:lang w:val="en-US" w:eastAsia="zh-CN"/>
        </w:rPr>
        <w:t>附表2</w:t>
      </w:r>
      <w:bookmarkEnd w:id="217"/>
      <w:bookmarkEnd w:id="218"/>
      <w:bookmarkEnd w:id="219"/>
    </w:p>
    <w:p w14:paraId="0AB165FA">
      <w:pPr>
        <w:pStyle w:val="3"/>
        <w:shd w:val="clear"/>
        <w:spacing w:before="62" w:after="93"/>
        <w:ind w:left="0" w:leftChars="0" w:firstLine="0" w:firstLineChars="0"/>
        <w:jc w:val="center"/>
        <w:outlineLvl w:val="0"/>
        <w:rPr>
          <w:rFonts w:hint="eastAsia"/>
          <w:b w:val="0"/>
          <w:bCs/>
          <w:color w:val="auto"/>
          <w:highlight w:val="none"/>
          <w:lang w:val="en-US" w:eastAsia="zh-CN"/>
        </w:rPr>
      </w:pPr>
      <w:bookmarkStart w:id="220" w:name="_Toc12350"/>
      <w:bookmarkStart w:id="221" w:name="_Toc17494"/>
      <w:bookmarkStart w:id="222" w:name="_Toc4096"/>
      <w:r>
        <w:rPr>
          <w:rFonts w:hint="eastAsia"/>
          <w:b w:val="0"/>
          <w:bCs/>
          <w:color w:val="auto"/>
          <w:highlight w:val="none"/>
          <w:lang w:val="en-US" w:eastAsia="zh-CN"/>
        </w:rPr>
        <w:t>“十五五”旅游文化体育发展一般项目库</w:t>
      </w:r>
      <w:bookmarkEnd w:id="220"/>
      <w:r>
        <w:rPr>
          <w:rFonts w:hint="eastAsia"/>
          <w:b w:val="0"/>
          <w:bCs/>
          <w:color w:val="auto"/>
          <w:highlight w:val="none"/>
          <w:lang w:val="en-US" w:eastAsia="zh-CN"/>
        </w:rPr>
        <w:t>（13个）</w:t>
      </w:r>
      <w:bookmarkEnd w:id="221"/>
      <w:bookmarkEnd w:id="222"/>
    </w:p>
    <w:tbl>
      <w:tblPr>
        <w:tblStyle w:val="13"/>
        <w:tblW w:w="5085" w:type="pct"/>
        <w:tblInd w:w="0" w:type="dxa"/>
        <w:tblLayout w:type="fixed"/>
        <w:tblCellMar>
          <w:top w:w="0" w:type="dxa"/>
          <w:left w:w="108" w:type="dxa"/>
          <w:bottom w:w="0" w:type="dxa"/>
          <w:right w:w="108" w:type="dxa"/>
        </w:tblCellMar>
      </w:tblPr>
      <w:tblGrid>
        <w:gridCol w:w="686"/>
        <w:gridCol w:w="1761"/>
        <w:gridCol w:w="980"/>
        <w:gridCol w:w="7357"/>
        <w:gridCol w:w="700"/>
        <w:gridCol w:w="1075"/>
        <w:gridCol w:w="1112"/>
        <w:gridCol w:w="744"/>
      </w:tblGrid>
      <w:tr w14:paraId="53060C15">
        <w:tblPrEx>
          <w:tblCellMar>
            <w:top w:w="0" w:type="dxa"/>
            <w:left w:w="108" w:type="dxa"/>
            <w:bottom w:w="0" w:type="dxa"/>
            <w:right w:w="108" w:type="dxa"/>
          </w:tblCellMar>
        </w:tblPrEx>
        <w:trPr>
          <w:trHeight w:val="90" w:hRule="atLeast"/>
          <w:tblHeader/>
        </w:trPr>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60D616">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序号</w:t>
            </w:r>
          </w:p>
        </w:tc>
        <w:tc>
          <w:tcPr>
            <w:tcW w:w="610" w:type="pct"/>
            <w:tcBorders>
              <w:top w:val="single" w:color="auto" w:sz="4" w:space="0"/>
              <w:left w:val="nil"/>
              <w:bottom w:val="single" w:color="auto" w:sz="4" w:space="0"/>
              <w:right w:val="single" w:color="auto" w:sz="4" w:space="0"/>
            </w:tcBorders>
            <w:shd w:val="clear" w:color="auto" w:fill="auto"/>
            <w:noWrap/>
            <w:vAlign w:val="center"/>
          </w:tcPr>
          <w:p w14:paraId="2F962E44">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项目名称</w:t>
            </w:r>
          </w:p>
        </w:tc>
        <w:tc>
          <w:tcPr>
            <w:tcW w:w="339" w:type="pct"/>
            <w:tcBorders>
              <w:top w:val="single" w:color="auto" w:sz="4" w:space="0"/>
              <w:left w:val="nil"/>
              <w:bottom w:val="single" w:color="auto" w:sz="4" w:space="0"/>
              <w:right w:val="single" w:color="auto" w:sz="4" w:space="0"/>
            </w:tcBorders>
            <w:shd w:val="clear" w:color="auto" w:fill="auto"/>
            <w:noWrap/>
            <w:vAlign w:val="center"/>
          </w:tcPr>
          <w:p w14:paraId="06173DB6">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w:t>
            </w:r>
          </w:p>
          <w:p w14:paraId="69EDA307">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地点</w:t>
            </w:r>
          </w:p>
        </w:tc>
        <w:tc>
          <w:tcPr>
            <w:tcW w:w="2551" w:type="pct"/>
            <w:tcBorders>
              <w:top w:val="single" w:color="auto" w:sz="4" w:space="0"/>
              <w:left w:val="nil"/>
              <w:bottom w:val="single" w:color="auto" w:sz="4" w:space="0"/>
              <w:right w:val="single" w:color="auto" w:sz="4" w:space="0"/>
            </w:tcBorders>
            <w:shd w:val="clear" w:color="auto" w:fill="auto"/>
            <w:noWrap/>
            <w:vAlign w:val="center"/>
          </w:tcPr>
          <w:p w14:paraId="0D97F7FF">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建设内容</w:t>
            </w:r>
          </w:p>
        </w:tc>
        <w:tc>
          <w:tcPr>
            <w:tcW w:w="242" w:type="pct"/>
            <w:tcBorders>
              <w:top w:val="single" w:color="auto" w:sz="4" w:space="0"/>
              <w:left w:val="nil"/>
              <w:bottom w:val="single" w:color="auto" w:sz="4" w:space="0"/>
              <w:right w:val="single" w:color="auto" w:sz="4" w:space="0"/>
            </w:tcBorders>
            <w:shd w:val="clear" w:color="auto" w:fill="auto"/>
            <w:vAlign w:val="center"/>
          </w:tcPr>
          <w:p w14:paraId="0BB68126">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rPr>
            </w:pPr>
            <w:r>
              <w:rPr>
                <w:rFonts w:hint="eastAsia" w:ascii="仿宋_GB2312" w:hAnsi="仿宋_GB2312" w:eastAsia="仿宋_GB2312" w:cs="仿宋_GB2312"/>
                <w:b/>
                <w:color w:val="auto"/>
                <w:kern w:val="0"/>
                <w:sz w:val="24"/>
                <w:szCs w:val="21"/>
                <w:lang w:val="en-US" w:eastAsia="zh-CN"/>
              </w:rPr>
              <w:t>建设</w:t>
            </w:r>
          </w:p>
          <w:p w14:paraId="600B442C">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lang w:val="en-US" w:eastAsia="zh-CN"/>
              </w:rPr>
              <w:t>阶段</w:t>
            </w:r>
          </w:p>
        </w:tc>
        <w:tc>
          <w:tcPr>
            <w:tcW w:w="372" w:type="pct"/>
            <w:tcBorders>
              <w:top w:val="single" w:color="auto" w:sz="4" w:space="0"/>
              <w:left w:val="nil"/>
              <w:bottom w:val="single" w:color="auto" w:sz="4" w:space="0"/>
              <w:right w:val="single" w:color="auto" w:sz="4" w:space="0"/>
            </w:tcBorders>
            <w:shd w:val="clear" w:color="auto" w:fill="auto"/>
            <w:vAlign w:val="center"/>
          </w:tcPr>
          <w:p w14:paraId="1DE64B76">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投资额</w:t>
            </w:r>
            <w:r>
              <w:rPr>
                <w:rFonts w:hint="eastAsia" w:ascii="仿宋_GB2312" w:hAnsi="仿宋_GB2312" w:eastAsia="仿宋_GB2312" w:cs="仿宋_GB2312"/>
                <w:b/>
                <w:color w:val="auto"/>
                <w:kern w:val="0"/>
                <w:sz w:val="24"/>
                <w:szCs w:val="21"/>
              </w:rPr>
              <w:br w:type="textWrapping"/>
            </w:r>
            <w:r>
              <w:rPr>
                <w:rFonts w:hint="eastAsia" w:ascii="仿宋_GB2312" w:hAnsi="仿宋_GB2312" w:eastAsia="仿宋_GB2312" w:cs="仿宋_GB2312"/>
                <w:b/>
                <w:color w:val="auto"/>
                <w:kern w:val="0"/>
                <w:sz w:val="24"/>
                <w:szCs w:val="21"/>
              </w:rPr>
              <w:t>（万元）</w:t>
            </w:r>
          </w:p>
        </w:tc>
        <w:tc>
          <w:tcPr>
            <w:tcW w:w="385" w:type="pct"/>
            <w:tcBorders>
              <w:top w:val="single" w:color="auto" w:sz="4" w:space="0"/>
              <w:left w:val="nil"/>
              <w:bottom w:val="single" w:color="auto" w:sz="4" w:space="0"/>
              <w:right w:val="single" w:color="auto" w:sz="4" w:space="0"/>
            </w:tcBorders>
            <w:shd w:val="clear" w:color="auto" w:fill="auto"/>
            <w:noWrap/>
            <w:vAlign w:val="center"/>
          </w:tcPr>
          <w:p w14:paraId="0CBBD670">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w:t>
            </w:r>
          </w:p>
          <w:p w14:paraId="38C63824">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期限</w:t>
            </w:r>
          </w:p>
        </w:tc>
        <w:tc>
          <w:tcPr>
            <w:tcW w:w="258" w:type="pct"/>
            <w:tcBorders>
              <w:top w:val="single" w:color="auto" w:sz="4" w:space="0"/>
              <w:left w:val="nil"/>
              <w:bottom w:val="single" w:color="auto" w:sz="4" w:space="0"/>
              <w:right w:val="single" w:color="auto" w:sz="4" w:space="0"/>
            </w:tcBorders>
            <w:shd w:val="clear" w:color="auto" w:fill="auto"/>
            <w:noWrap/>
            <w:vAlign w:val="center"/>
          </w:tcPr>
          <w:p w14:paraId="3D8B5BCA">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w:t>
            </w:r>
          </w:p>
          <w:p w14:paraId="57E60DEE">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类别</w:t>
            </w:r>
          </w:p>
        </w:tc>
      </w:tr>
      <w:tr w14:paraId="216284E5">
        <w:tblPrEx>
          <w:tblCellMar>
            <w:top w:w="0" w:type="dxa"/>
            <w:left w:w="108" w:type="dxa"/>
            <w:bottom w:w="0" w:type="dxa"/>
            <w:right w:w="108" w:type="dxa"/>
          </w:tblCellMar>
        </w:tblPrEx>
        <w:trPr>
          <w:trHeight w:val="244"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215CBBA3">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1</w:t>
            </w:r>
          </w:p>
        </w:tc>
        <w:tc>
          <w:tcPr>
            <w:tcW w:w="610" w:type="pct"/>
            <w:tcBorders>
              <w:top w:val="nil"/>
              <w:left w:val="nil"/>
              <w:bottom w:val="single" w:color="auto" w:sz="4" w:space="0"/>
              <w:right w:val="single" w:color="auto" w:sz="4" w:space="0"/>
            </w:tcBorders>
            <w:shd w:val="clear" w:color="auto" w:fill="auto"/>
            <w:vAlign w:val="center"/>
          </w:tcPr>
          <w:p w14:paraId="482C998C">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万宁南桥镇仙女潭一二三产</w:t>
            </w:r>
            <w:r>
              <w:rPr>
                <w:rFonts w:hint="eastAsia" w:cs="仿宋_GB2312"/>
                <w:b/>
                <w:bCs w:val="0"/>
                <w:color w:val="auto"/>
                <w:kern w:val="0"/>
                <w:sz w:val="24"/>
                <w:szCs w:val="21"/>
                <w:lang w:val="en-US" w:eastAsia="zh-CN" w:bidi="ar-SA"/>
              </w:rPr>
              <w:t>业</w:t>
            </w:r>
            <w:r>
              <w:rPr>
                <w:rFonts w:hint="eastAsia" w:ascii="仿宋_GB2312" w:hAnsi="仿宋_GB2312" w:eastAsia="仿宋_GB2312" w:cs="仿宋_GB2312"/>
                <w:b/>
                <w:bCs w:val="0"/>
                <w:color w:val="auto"/>
                <w:kern w:val="0"/>
                <w:sz w:val="24"/>
                <w:szCs w:val="21"/>
                <w:lang w:val="en-US" w:eastAsia="zh-CN" w:bidi="ar-SA"/>
              </w:rPr>
              <w:t>融合发展示范区</w:t>
            </w:r>
          </w:p>
        </w:tc>
        <w:tc>
          <w:tcPr>
            <w:tcW w:w="339" w:type="pct"/>
            <w:tcBorders>
              <w:top w:val="nil"/>
              <w:left w:val="nil"/>
              <w:bottom w:val="single" w:color="auto" w:sz="4" w:space="0"/>
              <w:right w:val="single" w:color="auto" w:sz="4" w:space="0"/>
            </w:tcBorders>
            <w:shd w:val="clear" w:color="auto" w:fill="auto"/>
            <w:vAlign w:val="center"/>
          </w:tcPr>
          <w:p w14:paraId="2B260E7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南桥镇</w:t>
            </w:r>
          </w:p>
        </w:tc>
        <w:tc>
          <w:tcPr>
            <w:tcW w:w="2551" w:type="pct"/>
            <w:tcBorders>
              <w:top w:val="nil"/>
              <w:left w:val="nil"/>
              <w:bottom w:val="single" w:color="auto" w:sz="4" w:space="0"/>
              <w:right w:val="single" w:color="auto" w:sz="4" w:space="0"/>
            </w:tcBorders>
            <w:shd w:val="clear" w:color="auto" w:fill="auto"/>
            <w:vAlign w:val="center"/>
          </w:tcPr>
          <w:p w14:paraId="0F8180F9">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项目选址南桥镇仙女潭。分为二期，一期拟建重点项目：游客综合服务中心、森林客栈、产销一体化仓储物流中心、山地休闲栈道、仙女潭观景平台、</w:t>
            </w:r>
            <w:r>
              <w:rPr>
                <w:rFonts w:hint="eastAsia" w:cs="仿宋_GB2312"/>
                <w:bCs/>
                <w:color w:val="auto"/>
                <w:kern w:val="0"/>
                <w:sz w:val="24"/>
                <w:szCs w:val="21"/>
                <w:lang w:val="en-US" w:eastAsia="zh-CN" w:bidi="ar-SA"/>
              </w:rPr>
              <w:t>多层</w:t>
            </w:r>
            <w:r>
              <w:rPr>
                <w:rFonts w:hint="eastAsia" w:ascii="仿宋_GB2312" w:hAnsi="仿宋_GB2312" w:eastAsia="仿宋_GB2312" w:cs="仿宋_GB2312"/>
                <w:bCs/>
                <w:color w:val="auto"/>
                <w:kern w:val="0"/>
                <w:sz w:val="24"/>
                <w:szCs w:val="21"/>
                <w:lang w:val="en-US" w:eastAsia="zh-CN" w:bidi="ar-SA"/>
              </w:rPr>
              <w:t>复合功能观景平台、道路及市政设施建设；二期拟建重点项目：民宿集群、房车营地配套、商业综合配套。</w:t>
            </w:r>
          </w:p>
        </w:tc>
        <w:tc>
          <w:tcPr>
            <w:tcW w:w="242" w:type="pct"/>
            <w:tcBorders>
              <w:top w:val="nil"/>
              <w:left w:val="nil"/>
              <w:bottom w:val="single" w:color="auto" w:sz="4" w:space="0"/>
              <w:right w:val="single" w:color="auto" w:sz="4" w:space="0"/>
            </w:tcBorders>
            <w:shd w:val="clear" w:color="auto" w:fill="auto"/>
            <w:vAlign w:val="center"/>
          </w:tcPr>
          <w:p w14:paraId="5E9AF031">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39A8FCD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44000</w:t>
            </w:r>
          </w:p>
        </w:tc>
        <w:tc>
          <w:tcPr>
            <w:tcW w:w="385" w:type="pct"/>
            <w:tcBorders>
              <w:top w:val="nil"/>
              <w:left w:val="nil"/>
              <w:bottom w:val="single" w:color="auto" w:sz="4" w:space="0"/>
              <w:right w:val="single" w:color="auto" w:sz="4" w:space="0"/>
            </w:tcBorders>
            <w:shd w:val="clear" w:color="auto" w:fill="auto"/>
            <w:vAlign w:val="center"/>
          </w:tcPr>
          <w:p w14:paraId="5DC12D9F">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6502E4A0">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海洋旅游</w:t>
            </w:r>
          </w:p>
        </w:tc>
      </w:tr>
      <w:tr w14:paraId="2FCD2416">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54DF6B0F">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2</w:t>
            </w:r>
          </w:p>
        </w:tc>
        <w:tc>
          <w:tcPr>
            <w:tcW w:w="610" w:type="pct"/>
            <w:tcBorders>
              <w:top w:val="nil"/>
              <w:left w:val="nil"/>
              <w:bottom w:val="single" w:color="auto" w:sz="4" w:space="0"/>
              <w:right w:val="single" w:color="auto" w:sz="4" w:space="0"/>
            </w:tcBorders>
            <w:shd w:val="clear" w:color="auto" w:fill="auto"/>
            <w:vAlign w:val="center"/>
          </w:tcPr>
          <w:p w14:paraId="18393F1C">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万宁市龙滚镇滨海文旅片区融合发展项目</w:t>
            </w:r>
          </w:p>
        </w:tc>
        <w:tc>
          <w:tcPr>
            <w:tcW w:w="339" w:type="pct"/>
            <w:tcBorders>
              <w:top w:val="nil"/>
              <w:left w:val="nil"/>
              <w:bottom w:val="single" w:color="auto" w:sz="4" w:space="0"/>
              <w:right w:val="single" w:color="auto" w:sz="4" w:space="0"/>
            </w:tcBorders>
            <w:shd w:val="clear" w:color="auto" w:fill="auto"/>
            <w:vAlign w:val="center"/>
          </w:tcPr>
          <w:p w14:paraId="27C3895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龙滚镇</w:t>
            </w:r>
          </w:p>
        </w:tc>
        <w:tc>
          <w:tcPr>
            <w:tcW w:w="2551" w:type="pct"/>
            <w:tcBorders>
              <w:top w:val="nil"/>
              <w:left w:val="nil"/>
              <w:bottom w:val="single" w:color="auto" w:sz="4" w:space="0"/>
              <w:right w:val="single" w:color="auto" w:sz="4" w:space="0"/>
            </w:tcBorders>
            <w:shd w:val="clear" w:color="auto" w:fill="auto"/>
            <w:vAlign w:val="center"/>
          </w:tcPr>
          <w:p w14:paraId="5D855636">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以滨海文旅为核心发展，联动康养、体育、文化等产业业态，构建四位一体的全维度海岛旅居体系，打造海南省文旅度假目的地。</w:t>
            </w:r>
          </w:p>
          <w:p w14:paraId="2C2CBC8C">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①</w:t>
            </w:r>
            <w:r>
              <w:rPr>
                <w:rFonts w:hint="eastAsia" w:ascii="仿宋_GB2312" w:hAnsi="仿宋_GB2312" w:eastAsia="仿宋_GB2312" w:cs="仿宋_GB2312"/>
                <w:bCs/>
                <w:color w:val="auto"/>
                <w:kern w:val="0"/>
                <w:sz w:val="24"/>
                <w:szCs w:val="21"/>
                <w:lang w:val="en-US" w:eastAsia="zh-CN" w:bidi="ar-SA"/>
              </w:rPr>
              <w:t>滨海文旅休闲区：以亲海体验为核心吸引力，精准锚定家庭亲子、网红打卡、高端商务三大核心客群，通过全龄友好的场景设计与多元服务升级，构建覆盖全需求、全周期的旅游体验生态。</w:t>
            </w:r>
          </w:p>
          <w:p w14:paraId="22EBA3A5">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②</w:t>
            </w:r>
            <w:r>
              <w:rPr>
                <w:rFonts w:hint="eastAsia" w:ascii="仿宋_GB2312" w:hAnsi="仿宋_GB2312" w:eastAsia="仿宋_GB2312" w:cs="仿宋_GB2312"/>
                <w:bCs/>
                <w:color w:val="auto"/>
                <w:kern w:val="0"/>
                <w:sz w:val="24"/>
                <w:szCs w:val="21"/>
                <w:lang w:val="en-US" w:eastAsia="zh-CN" w:bidi="ar-SA"/>
              </w:rPr>
              <w:t>山海体育探险区：以户外活动为重要载体，深化“运动+文旅”场景构建，精准聚焦极限玩家兴趣圈层，配套“会员俱乐部+实训营”的体验型服务，为运动爱好者提供专业、深度的参与空间，同步发力赛事IP打造，以专业赛事引流聚气，塑造项目专属文旅运动标签。</w:t>
            </w:r>
          </w:p>
          <w:p w14:paraId="04C37AEE">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③</w:t>
            </w:r>
            <w:r>
              <w:rPr>
                <w:rFonts w:hint="eastAsia" w:ascii="仿宋_GB2312" w:hAnsi="仿宋_GB2312" w:eastAsia="仿宋_GB2312" w:cs="仿宋_GB2312"/>
                <w:bCs/>
                <w:color w:val="auto"/>
                <w:kern w:val="0"/>
                <w:sz w:val="24"/>
                <w:szCs w:val="21"/>
                <w:lang w:val="en-US" w:eastAsia="zh-CN" w:bidi="ar-SA"/>
              </w:rPr>
              <w:t>国际康养度假区：以优质亲海生态环境为基底，融合康养疗愈、智慧养老与健康医美三大核心服务，打造“慢生活、高体验”的生态疗愈系统。</w:t>
            </w:r>
          </w:p>
          <w:p w14:paraId="1A08CDD3">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④</w:t>
            </w:r>
            <w:r>
              <w:rPr>
                <w:rFonts w:hint="eastAsia" w:ascii="仿宋_GB2312" w:hAnsi="仿宋_GB2312" w:eastAsia="仿宋_GB2312" w:cs="仿宋_GB2312"/>
                <w:bCs/>
                <w:color w:val="auto"/>
                <w:kern w:val="0"/>
                <w:sz w:val="24"/>
                <w:szCs w:val="21"/>
                <w:lang w:val="en-US" w:eastAsia="zh-CN" w:bidi="ar-SA"/>
              </w:rPr>
              <w:t>侨乡民俗生活区：以“军坡非遗文化节”为核心元素，策划沉浸式非遗文化市集。依托现有老街、村落、民居等原生空间，构建开放式侨乡民俗体验区。将红色文化与乡村振兴深度结合，挖掘红色历史脉络，打造兼具教育意义与体验感的红色文化精神高地。</w:t>
            </w:r>
          </w:p>
        </w:tc>
        <w:tc>
          <w:tcPr>
            <w:tcW w:w="242" w:type="pct"/>
            <w:tcBorders>
              <w:top w:val="nil"/>
              <w:left w:val="nil"/>
              <w:bottom w:val="single" w:color="auto" w:sz="4" w:space="0"/>
              <w:right w:val="single" w:color="auto" w:sz="4" w:space="0"/>
            </w:tcBorders>
            <w:shd w:val="clear" w:color="auto" w:fill="auto"/>
            <w:vAlign w:val="center"/>
          </w:tcPr>
          <w:p w14:paraId="65BA6ED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5F1313DF">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200000</w:t>
            </w:r>
          </w:p>
        </w:tc>
        <w:tc>
          <w:tcPr>
            <w:tcW w:w="385" w:type="pct"/>
            <w:tcBorders>
              <w:top w:val="nil"/>
              <w:left w:val="nil"/>
              <w:bottom w:val="single" w:color="auto" w:sz="4" w:space="0"/>
              <w:right w:val="single" w:color="auto" w:sz="4" w:space="0"/>
            </w:tcBorders>
            <w:shd w:val="clear" w:color="auto" w:fill="auto"/>
            <w:vAlign w:val="center"/>
          </w:tcPr>
          <w:p w14:paraId="5C3D1F34">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—203</w:t>
            </w:r>
            <w:r>
              <w:rPr>
                <w:rFonts w:hint="eastAsia" w:ascii="仿宋_GB2312" w:hAnsi="仿宋_GB2312" w:eastAsia="仿宋_GB2312" w:cs="仿宋_GB2312"/>
                <w:bCs/>
                <w:color w:val="auto"/>
                <w:kern w:val="0"/>
                <w:sz w:val="24"/>
                <w:szCs w:val="21"/>
                <w:lang w:val="en-US" w:eastAsia="zh-CN"/>
              </w:rPr>
              <w:t>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20157A24">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海洋旅游</w:t>
            </w:r>
          </w:p>
        </w:tc>
      </w:tr>
      <w:tr w14:paraId="0DF7DB30">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3424068D">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3</w:t>
            </w:r>
          </w:p>
        </w:tc>
        <w:tc>
          <w:tcPr>
            <w:tcW w:w="610" w:type="pct"/>
            <w:tcBorders>
              <w:top w:val="nil"/>
              <w:left w:val="nil"/>
              <w:bottom w:val="single" w:color="auto" w:sz="4" w:space="0"/>
              <w:right w:val="single" w:color="auto" w:sz="4" w:space="0"/>
            </w:tcBorders>
            <w:shd w:val="clear" w:color="auto" w:fill="auto"/>
            <w:vAlign w:val="center"/>
          </w:tcPr>
          <w:p w14:paraId="195108FE">
            <w:pPr>
              <w:widowControl/>
              <w:spacing w:line="240" w:lineRule="auto"/>
              <w:ind w:firstLine="0" w:firstLineChars="0"/>
              <w:jc w:val="center"/>
              <w:rPr>
                <w:rFonts w:hint="eastAsia" w:ascii="仿宋_GB2312" w:hAnsi="仿宋_GB2312" w:eastAsia="仿宋_GB2312" w:cs="仿宋_GB2312"/>
                <w:b/>
                <w:bCs w:val="0"/>
                <w:color w:val="auto"/>
                <w:kern w:val="0"/>
                <w:sz w:val="24"/>
                <w:szCs w:val="21"/>
                <w:highlight w:val="yellow"/>
                <w:lang w:val="en-US" w:eastAsia="zh-CN" w:bidi="ar-SA"/>
              </w:rPr>
            </w:pPr>
            <w:r>
              <w:rPr>
                <w:rFonts w:hint="eastAsia" w:ascii="仿宋_GB2312" w:hAnsi="仿宋_GB2312" w:eastAsia="仿宋_GB2312" w:cs="仿宋_GB2312"/>
                <w:b/>
                <w:bCs w:val="0"/>
                <w:color w:val="auto"/>
                <w:kern w:val="0"/>
                <w:sz w:val="24"/>
                <w:szCs w:val="21"/>
                <w:lang w:val="en-US" w:eastAsia="zh-CN" w:bidi="ar-SA"/>
              </w:rPr>
              <w:t>山钦蓝梦驿站</w:t>
            </w:r>
          </w:p>
        </w:tc>
        <w:tc>
          <w:tcPr>
            <w:tcW w:w="339" w:type="pct"/>
            <w:tcBorders>
              <w:top w:val="nil"/>
              <w:left w:val="nil"/>
              <w:bottom w:val="single" w:color="auto" w:sz="4" w:space="0"/>
              <w:right w:val="single" w:color="auto" w:sz="4" w:space="0"/>
            </w:tcBorders>
            <w:shd w:val="clear" w:color="auto" w:fill="auto"/>
            <w:vAlign w:val="center"/>
          </w:tcPr>
          <w:p w14:paraId="50E46DB2">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万宁市</w:t>
            </w:r>
          </w:p>
        </w:tc>
        <w:tc>
          <w:tcPr>
            <w:tcW w:w="2551" w:type="pct"/>
            <w:tcBorders>
              <w:top w:val="nil"/>
              <w:left w:val="nil"/>
              <w:bottom w:val="single" w:color="auto" w:sz="4" w:space="0"/>
              <w:right w:val="single" w:color="auto" w:sz="4" w:space="0"/>
            </w:tcBorders>
            <w:shd w:val="clear" w:color="auto" w:fill="auto"/>
            <w:vAlign w:val="center"/>
          </w:tcPr>
          <w:p w14:paraId="4F8E977A">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建设环岛旅游公路的配套，落地海境观潮、海潮流风、临海泊心等项目无人驾驶实验段运营，并搭配完成项目地周边部分景区、停车区、观景台、服务区等公共设施充电桩、停车场等环岛公路服务设施。</w:t>
            </w:r>
          </w:p>
        </w:tc>
        <w:tc>
          <w:tcPr>
            <w:tcW w:w="242" w:type="pct"/>
            <w:tcBorders>
              <w:top w:val="nil"/>
              <w:left w:val="nil"/>
              <w:bottom w:val="single" w:color="auto" w:sz="4" w:space="0"/>
              <w:right w:val="single" w:color="auto" w:sz="4" w:space="0"/>
            </w:tcBorders>
            <w:shd w:val="clear" w:color="auto" w:fill="auto"/>
            <w:vAlign w:val="center"/>
          </w:tcPr>
          <w:p w14:paraId="158C2B8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66595A4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200000</w:t>
            </w:r>
          </w:p>
        </w:tc>
        <w:tc>
          <w:tcPr>
            <w:tcW w:w="385" w:type="pct"/>
            <w:tcBorders>
              <w:top w:val="nil"/>
              <w:left w:val="nil"/>
              <w:bottom w:val="single" w:color="auto" w:sz="4" w:space="0"/>
              <w:right w:val="single" w:color="auto" w:sz="4" w:space="0"/>
            </w:tcBorders>
            <w:shd w:val="clear" w:color="auto" w:fill="auto"/>
            <w:vAlign w:val="center"/>
          </w:tcPr>
          <w:p w14:paraId="1CCC6BD1">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752DC2C1">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海洋旅游</w:t>
            </w:r>
          </w:p>
        </w:tc>
      </w:tr>
      <w:tr w14:paraId="685C3C78">
        <w:tblPrEx>
          <w:tblCellMar>
            <w:top w:w="0" w:type="dxa"/>
            <w:left w:w="108" w:type="dxa"/>
            <w:bottom w:w="0" w:type="dxa"/>
            <w:right w:w="108" w:type="dxa"/>
          </w:tblCellMar>
        </w:tblPrEx>
        <w:trPr>
          <w:trHeight w:val="341"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52187538">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4</w:t>
            </w:r>
          </w:p>
        </w:tc>
        <w:tc>
          <w:tcPr>
            <w:tcW w:w="610" w:type="pct"/>
            <w:tcBorders>
              <w:top w:val="nil"/>
              <w:left w:val="nil"/>
              <w:bottom w:val="single" w:color="auto" w:sz="4" w:space="0"/>
              <w:right w:val="single" w:color="auto" w:sz="4" w:space="0"/>
            </w:tcBorders>
            <w:shd w:val="clear" w:color="auto" w:fill="auto"/>
            <w:vAlign w:val="center"/>
          </w:tcPr>
          <w:p w14:paraId="1D517525">
            <w:pPr>
              <w:widowControl/>
              <w:spacing w:line="240" w:lineRule="auto"/>
              <w:ind w:firstLine="0" w:firstLineChars="0"/>
              <w:jc w:val="center"/>
              <w:rPr>
                <w:rFonts w:hint="eastAsia" w:ascii="仿宋_GB2312" w:hAnsi="仿宋_GB2312" w:eastAsia="仿宋_GB2312" w:cs="仿宋_GB2312"/>
                <w:b/>
                <w:bCs w:val="0"/>
                <w:color w:val="auto"/>
                <w:kern w:val="0"/>
                <w:sz w:val="24"/>
                <w:szCs w:val="21"/>
                <w:highlight w:val="none"/>
              </w:rPr>
            </w:pPr>
            <w:r>
              <w:rPr>
                <w:rFonts w:hint="eastAsia" w:ascii="仿宋_GB2312" w:hAnsi="仿宋_GB2312" w:eastAsia="仿宋_GB2312" w:cs="仿宋_GB2312"/>
                <w:b/>
                <w:bCs w:val="0"/>
                <w:color w:val="auto"/>
                <w:kern w:val="0"/>
                <w:sz w:val="24"/>
                <w:szCs w:val="21"/>
                <w:lang w:val="en-US" w:eastAsia="zh-CN" w:bidi="ar-SA"/>
              </w:rPr>
              <w:t>大洲燕呢驿站</w:t>
            </w:r>
          </w:p>
        </w:tc>
        <w:tc>
          <w:tcPr>
            <w:tcW w:w="339" w:type="pct"/>
            <w:tcBorders>
              <w:top w:val="nil"/>
              <w:left w:val="nil"/>
              <w:bottom w:val="single" w:color="auto" w:sz="4" w:space="0"/>
              <w:right w:val="single" w:color="auto" w:sz="4" w:space="0"/>
            </w:tcBorders>
            <w:shd w:val="clear" w:color="auto" w:fill="auto"/>
            <w:vAlign w:val="center"/>
          </w:tcPr>
          <w:p w14:paraId="4F309D50">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东澳镇</w:t>
            </w:r>
          </w:p>
        </w:tc>
        <w:tc>
          <w:tcPr>
            <w:tcW w:w="2551" w:type="pct"/>
            <w:tcBorders>
              <w:top w:val="nil"/>
              <w:left w:val="nil"/>
              <w:bottom w:val="single" w:color="auto" w:sz="4" w:space="0"/>
              <w:right w:val="single" w:color="auto" w:sz="4" w:space="0"/>
            </w:tcBorders>
            <w:shd w:val="clear" w:color="auto" w:fill="auto"/>
            <w:vAlign w:val="center"/>
          </w:tcPr>
          <w:p w14:paraId="09510249">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景区投资开发及运营，工程项目建设，高星级酒店投资及运营，文旅剧实景演艺。</w:t>
            </w:r>
          </w:p>
        </w:tc>
        <w:tc>
          <w:tcPr>
            <w:tcW w:w="242" w:type="pct"/>
            <w:tcBorders>
              <w:top w:val="nil"/>
              <w:left w:val="nil"/>
              <w:bottom w:val="single" w:color="auto" w:sz="4" w:space="0"/>
              <w:right w:val="single" w:color="auto" w:sz="4" w:space="0"/>
            </w:tcBorders>
            <w:shd w:val="clear" w:color="auto" w:fill="auto"/>
            <w:vAlign w:val="center"/>
          </w:tcPr>
          <w:p w14:paraId="6087A10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1BBC7C4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60000</w:t>
            </w:r>
          </w:p>
        </w:tc>
        <w:tc>
          <w:tcPr>
            <w:tcW w:w="385" w:type="pct"/>
            <w:tcBorders>
              <w:top w:val="nil"/>
              <w:left w:val="nil"/>
              <w:bottom w:val="single" w:color="auto" w:sz="4" w:space="0"/>
              <w:right w:val="single" w:color="auto" w:sz="4" w:space="0"/>
            </w:tcBorders>
            <w:shd w:val="clear" w:color="auto" w:fill="auto"/>
            <w:vAlign w:val="center"/>
          </w:tcPr>
          <w:p w14:paraId="4BE3A642">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5A7C7F4A">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海洋旅游</w:t>
            </w:r>
          </w:p>
        </w:tc>
      </w:tr>
      <w:tr w14:paraId="78BE233F">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D886201">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5</w:t>
            </w:r>
          </w:p>
        </w:tc>
        <w:tc>
          <w:tcPr>
            <w:tcW w:w="610" w:type="pct"/>
            <w:tcBorders>
              <w:top w:val="nil"/>
              <w:left w:val="nil"/>
              <w:bottom w:val="single" w:color="auto" w:sz="4" w:space="0"/>
              <w:right w:val="single" w:color="auto" w:sz="4" w:space="0"/>
            </w:tcBorders>
            <w:shd w:val="clear" w:color="auto" w:fill="auto"/>
            <w:vAlign w:val="center"/>
          </w:tcPr>
          <w:p w14:paraId="1B0D3DE4">
            <w:pPr>
              <w:widowControl/>
              <w:spacing w:line="240" w:lineRule="auto"/>
              <w:ind w:firstLine="0" w:firstLineChars="0"/>
              <w:jc w:val="center"/>
              <w:rPr>
                <w:rFonts w:hint="eastAsia" w:ascii="仿宋_GB2312" w:hAnsi="仿宋_GB2312" w:eastAsia="仿宋_GB2312" w:cs="仿宋_GB2312"/>
                <w:b/>
                <w:bCs w:val="0"/>
                <w:color w:val="auto"/>
                <w:kern w:val="0"/>
                <w:sz w:val="24"/>
                <w:szCs w:val="21"/>
              </w:rPr>
            </w:pPr>
            <w:r>
              <w:rPr>
                <w:rFonts w:hint="eastAsia" w:ascii="仿宋_GB2312" w:hAnsi="仿宋_GB2312" w:eastAsia="仿宋_GB2312" w:cs="仿宋_GB2312"/>
                <w:b/>
                <w:bCs w:val="0"/>
                <w:color w:val="auto"/>
                <w:kern w:val="0"/>
                <w:sz w:val="24"/>
                <w:szCs w:val="21"/>
                <w:lang w:val="en-US" w:eastAsia="zh-CN" w:bidi="ar-SA"/>
              </w:rPr>
              <w:t>花角锦绣驿站</w:t>
            </w:r>
          </w:p>
        </w:tc>
        <w:tc>
          <w:tcPr>
            <w:tcW w:w="339" w:type="pct"/>
            <w:tcBorders>
              <w:top w:val="nil"/>
              <w:left w:val="nil"/>
              <w:bottom w:val="single" w:color="auto" w:sz="4" w:space="0"/>
              <w:right w:val="single" w:color="auto" w:sz="4" w:space="0"/>
            </w:tcBorders>
            <w:shd w:val="clear" w:color="auto" w:fill="auto"/>
            <w:vAlign w:val="center"/>
          </w:tcPr>
          <w:p w14:paraId="5B972C0B">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和乐镇</w:t>
            </w:r>
          </w:p>
        </w:tc>
        <w:tc>
          <w:tcPr>
            <w:tcW w:w="2551" w:type="pct"/>
            <w:tcBorders>
              <w:top w:val="nil"/>
              <w:left w:val="nil"/>
              <w:bottom w:val="single" w:color="auto" w:sz="4" w:space="0"/>
              <w:right w:val="single" w:color="auto" w:sz="4" w:space="0"/>
            </w:tcBorders>
            <w:shd w:val="clear" w:color="auto" w:fill="auto"/>
            <w:vAlign w:val="center"/>
          </w:tcPr>
          <w:p w14:paraId="44F5D4FA">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建设旅游及相关配套等。</w:t>
            </w:r>
          </w:p>
        </w:tc>
        <w:tc>
          <w:tcPr>
            <w:tcW w:w="242" w:type="pct"/>
            <w:tcBorders>
              <w:top w:val="nil"/>
              <w:left w:val="nil"/>
              <w:bottom w:val="single" w:color="auto" w:sz="4" w:space="0"/>
              <w:right w:val="single" w:color="auto" w:sz="4" w:space="0"/>
            </w:tcBorders>
            <w:shd w:val="clear" w:color="auto" w:fill="auto"/>
            <w:vAlign w:val="center"/>
          </w:tcPr>
          <w:p w14:paraId="02282040">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457377F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50000</w:t>
            </w:r>
          </w:p>
        </w:tc>
        <w:tc>
          <w:tcPr>
            <w:tcW w:w="385" w:type="pct"/>
            <w:tcBorders>
              <w:top w:val="nil"/>
              <w:left w:val="nil"/>
              <w:bottom w:val="single" w:color="auto" w:sz="4" w:space="0"/>
              <w:right w:val="single" w:color="auto" w:sz="4" w:space="0"/>
            </w:tcBorders>
            <w:shd w:val="clear" w:color="auto" w:fill="auto"/>
            <w:vAlign w:val="center"/>
          </w:tcPr>
          <w:p w14:paraId="0859061A">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—2028年</w:t>
            </w:r>
          </w:p>
        </w:tc>
        <w:tc>
          <w:tcPr>
            <w:tcW w:w="258" w:type="pct"/>
            <w:tcBorders>
              <w:top w:val="nil"/>
              <w:left w:val="nil"/>
              <w:bottom w:val="single" w:color="auto" w:sz="4" w:space="0"/>
              <w:right w:val="single" w:color="auto" w:sz="4" w:space="0"/>
            </w:tcBorders>
            <w:shd w:val="clear" w:color="auto" w:fill="auto"/>
            <w:vAlign w:val="center"/>
          </w:tcPr>
          <w:p w14:paraId="2AF74836">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海洋旅游</w:t>
            </w:r>
          </w:p>
        </w:tc>
      </w:tr>
      <w:tr w14:paraId="5E1C36A7">
        <w:tblPrEx>
          <w:tblCellMar>
            <w:top w:w="0" w:type="dxa"/>
            <w:left w:w="108" w:type="dxa"/>
            <w:bottom w:w="0" w:type="dxa"/>
            <w:right w:w="108" w:type="dxa"/>
          </w:tblCellMar>
        </w:tblPrEx>
        <w:trPr>
          <w:trHeight w:val="328"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0675CFD0">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6</w:t>
            </w:r>
          </w:p>
        </w:tc>
        <w:tc>
          <w:tcPr>
            <w:tcW w:w="610" w:type="pct"/>
            <w:tcBorders>
              <w:top w:val="nil"/>
              <w:left w:val="nil"/>
              <w:bottom w:val="single" w:color="auto" w:sz="4" w:space="0"/>
              <w:right w:val="single" w:color="auto" w:sz="4" w:space="0"/>
            </w:tcBorders>
            <w:shd w:val="clear" w:color="auto" w:fill="auto"/>
            <w:vAlign w:val="center"/>
          </w:tcPr>
          <w:p w14:paraId="1D6FB281">
            <w:pPr>
              <w:widowControl/>
              <w:spacing w:line="240" w:lineRule="auto"/>
              <w:ind w:firstLine="0" w:firstLineChars="0"/>
              <w:jc w:val="center"/>
              <w:rPr>
                <w:rFonts w:hint="eastAsia" w:ascii="仿宋_GB2312" w:hAnsi="仿宋_GB2312" w:eastAsia="仿宋_GB2312" w:cs="仿宋_GB2312"/>
                <w:b/>
                <w:bCs w:val="0"/>
                <w:color w:val="auto"/>
                <w:kern w:val="0"/>
                <w:sz w:val="24"/>
                <w:szCs w:val="21"/>
              </w:rPr>
            </w:pPr>
            <w:r>
              <w:rPr>
                <w:rFonts w:hint="eastAsia" w:ascii="仿宋_GB2312" w:hAnsi="仿宋_GB2312" w:eastAsia="仿宋_GB2312" w:cs="仿宋_GB2312"/>
                <w:b/>
                <w:bCs w:val="0"/>
                <w:color w:val="auto"/>
                <w:kern w:val="0"/>
                <w:sz w:val="24"/>
                <w:szCs w:val="21"/>
                <w:lang w:val="en-US" w:eastAsia="zh-CN" w:bidi="ar-SA"/>
              </w:rPr>
              <w:t>兴隆康养小镇</w:t>
            </w:r>
          </w:p>
        </w:tc>
        <w:tc>
          <w:tcPr>
            <w:tcW w:w="339" w:type="pct"/>
            <w:tcBorders>
              <w:top w:val="nil"/>
              <w:left w:val="nil"/>
              <w:bottom w:val="single" w:color="auto" w:sz="4" w:space="0"/>
              <w:right w:val="single" w:color="auto" w:sz="4" w:space="0"/>
            </w:tcBorders>
            <w:shd w:val="clear" w:color="auto" w:fill="auto"/>
            <w:vAlign w:val="center"/>
          </w:tcPr>
          <w:p w14:paraId="593BD961">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741F7CB0">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lang w:eastAsia="zh-CN"/>
              </w:rPr>
              <w:t>完善健康医疗配套设施。一是将兴隆红十字医院升级至三甲医院；二是建设康养医院，主打慢</w:t>
            </w:r>
            <w:r>
              <w:rPr>
                <w:rFonts w:hint="eastAsia" w:cs="仿宋_GB2312"/>
                <w:bCs/>
                <w:color w:val="auto"/>
                <w:kern w:val="0"/>
                <w:sz w:val="24"/>
                <w:szCs w:val="21"/>
                <w:lang w:val="en-US" w:eastAsia="zh-CN"/>
              </w:rPr>
              <w:t>性</w:t>
            </w:r>
            <w:r>
              <w:rPr>
                <w:rFonts w:hint="eastAsia" w:ascii="仿宋_GB2312" w:hAnsi="仿宋_GB2312" w:eastAsia="仿宋_GB2312" w:cs="仿宋_GB2312"/>
                <w:bCs/>
                <w:color w:val="auto"/>
                <w:kern w:val="0"/>
                <w:sz w:val="24"/>
                <w:szCs w:val="21"/>
                <w:lang w:eastAsia="zh-CN"/>
              </w:rPr>
              <w:t>病康养、失眠干预、呼吸系统调理，配备负氧离子治疗室，设置中医理疗馆和心理咨询室，提供艾灸、药浴（融入本地草药）、经络按摩和心理干预等康养护理。</w:t>
            </w:r>
          </w:p>
          <w:p w14:paraId="6EFA8480">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lang w:eastAsia="zh-CN"/>
              </w:rPr>
              <w:t>提升酒店温泉康养，修缮兴隆区各大酒店温泉设施，设置私汤庭院，家庭汤屋，满足隐私需求；植入中医理疗，推出“体质辨证+定制泡浴”服务，通过脉诊、舌诊判断体质，搭配对应中药包，设置“中医理疗区”，搭配“降压池”“关节养护池”“祛湿池”等热门需求汤池，设置轻理疗项目，如肩颈按摩、头部、足部按摩和面部护理池边醒目位置标注水温（39-41℃）与疗效；池边配备扶手、防滑垫与休息躺椅，提供放大镜、老花镜等便民工具。</w:t>
            </w:r>
          </w:p>
          <w:p w14:paraId="0E4CC60B">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lang w:eastAsia="zh-CN"/>
              </w:rPr>
              <w:t>建设沿太阳河生态康养步道，可分平缓环水源步道，进阶坡度梯形步道，沿途设置休憩亭、养生知识标识牌，并在步道节点设置健康检测站，联动医疗中心数据同步。</w:t>
            </w:r>
          </w:p>
          <w:p w14:paraId="6699DD38">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④</w:t>
            </w:r>
            <w:r>
              <w:rPr>
                <w:rFonts w:hint="eastAsia" w:ascii="仿宋_GB2312" w:hAnsi="仿宋_GB2312" w:eastAsia="仿宋_GB2312" w:cs="仿宋_GB2312"/>
                <w:bCs/>
                <w:color w:val="auto"/>
                <w:kern w:val="0"/>
                <w:sz w:val="24"/>
                <w:szCs w:val="21"/>
                <w:lang w:eastAsia="zh-CN"/>
              </w:rPr>
              <w:t>建设兴隆实验高中。依据“宜居宜养+教育支撑”康养小镇配套业态规划，完善“康养+教育”生活链，建设兴隆实验高中部。</w:t>
            </w:r>
          </w:p>
          <w:p w14:paraId="790588B6">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⑤</w:t>
            </w:r>
            <w:r>
              <w:rPr>
                <w:rFonts w:hint="eastAsia" w:ascii="仿宋_GB2312" w:hAnsi="仿宋_GB2312" w:eastAsia="仿宋_GB2312" w:cs="仿宋_GB2312"/>
                <w:bCs/>
                <w:color w:val="auto"/>
                <w:kern w:val="0"/>
                <w:sz w:val="24"/>
                <w:szCs w:val="21"/>
                <w:lang w:eastAsia="zh-CN"/>
              </w:rPr>
              <w:t>建设自然养生体验系列场所，开发膳食营养，针对生育养育特需人群，发展孕、保、育、康等服务。如：生态采摘园+林间食疗工坊，森林瑜伽营地+户外太极场，冥想空间（内设芳香疗愈体验区+声波疗愈室）。</w:t>
            </w:r>
          </w:p>
          <w:p w14:paraId="633CB5E9">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⑥</w:t>
            </w:r>
            <w:r>
              <w:rPr>
                <w:rFonts w:hint="eastAsia" w:ascii="仿宋_GB2312" w:hAnsi="仿宋_GB2312" w:eastAsia="仿宋_GB2312" w:cs="仿宋_GB2312"/>
                <w:bCs/>
                <w:color w:val="auto"/>
                <w:kern w:val="0"/>
                <w:sz w:val="24"/>
                <w:szCs w:val="21"/>
                <w:lang w:eastAsia="zh-CN"/>
              </w:rPr>
              <w:t>建设统一的康养标识牌（如道路指引牌、景点解说牌、警示提示牌等）和网红打卡点（如南洋风情步道、咖啡文化、印尼服饰等）。融合侨乡建筑符号、民俗图腾与康养功能，凸显侨乡文化特色，让标识牌成为“可触摸的侨乡记忆、可感知的康养温度”，实现文化传承与实用指引双重价值。</w:t>
            </w:r>
          </w:p>
        </w:tc>
        <w:tc>
          <w:tcPr>
            <w:tcW w:w="242" w:type="pct"/>
            <w:tcBorders>
              <w:top w:val="nil"/>
              <w:left w:val="nil"/>
              <w:bottom w:val="single" w:color="auto" w:sz="4" w:space="0"/>
              <w:right w:val="single" w:color="auto" w:sz="4" w:space="0"/>
            </w:tcBorders>
            <w:shd w:val="clear" w:color="auto" w:fill="auto"/>
            <w:vAlign w:val="center"/>
          </w:tcPr>
          <w:p w14:paraId="02959110">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42CB047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300000</w:t>
            </w:r>
          </w:p>
        </w:tc>
        <w:tc>
          <w:tcPr>
            <w:tcW w:w="385" w:type="pct"/>
            <w:tcBorders>
              <w:top w:val="nil"/>
              <w:left w:val="nil"/>
              <w:bottom w:val="single" w:color="auto" w:sz="4" w:space="0"/>
              <w:right w:val="single" w:color="auto" w:sz="4" w:space="0"/>
            </w:tcBorders>
            <w:shd w:val="clear" w:color="auto" w:fill="auto"/>
            <w:vAlign w:val="center"/>
          </w:tcPr>
          <w:p w14:paraId="214A76B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30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59FB6CE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rPr>
              <w:t>康养</w:t>
            </w:r>
            <w:r>
              <w:rPr>
                <w:rFonts w:hint="eastAsia" w:ascii="仿宋_GB2312" w:hAnsi="仿宋_GB2312" w:eastAsia="仿宋_GB2312" w:cs="仿宋_GB2312"/>
                <w:bCs/>
                <w:color w:val="auto"/>
                <w:kern w:val="0"/>
                <w:sz w:val="24"/>
                <w:szCs w:val="21"/>
              </w:rPr>
              <w:t>旅游</w:t>
            </w:r>
          </w:p>
        </w:tc>
      </w:tr>
      <w:tr w14:paraId="0F36C57C">
        <w:tblPrEx>
          <w:tblCellMar>
            <w:top w:w="0" w:type="dxa"/>
            <w:left w:w="108" w:type="dxa"/>
            <w:bottom w:w="0" w:type="dxa"/>
            <w:right w:w="108" w:type="dxa"/>
          </w:tblCellMar>
        </w:tblPrEx>
        <w:trPr>
          <w:trHeight w:val="829"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9168B2A">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7</w:t>
            </w:r>
          </w:p>
        </w:tc>
        <w:tc>
          <w:tcPr>
            <w:tcW w:w="610" w:type="pct"/>
            <w:tcBorders>
              <w:top w:val="nil"/>
              <w:left w:val="nil"/>
              <w:bottom w:val="single" w:color="auto" w:sz="4" w:space="0"/>
              <w:right w:val="single" w:color="auto" w:sz="4" w:space="0"/>
            </w:tcBorders>
            <w:shd w:val="clear" w:color="auto" w:fill="auto"/>
            <w:vAlign w:val="center"/>
          </w:tcPr>
          <w:p w14:paraId="70312E31">
            <w:pPr>
              <w:widowControl/>
              <w:spacing w:line="240" w:lineRule="auto"/>
              <w:ind w:firstLine="0" w:firstLineChars="0"/>
              <w:jc w:val="center"/>
              <w:rPr>
                <w:rFonts w:hint="eastAsia" w:ascii="仿宋_GB2312" w:hAnsi="仿宋_GB2312" w:eastAsia="仿宋_GB2312" w:cs="仿宋_GB2312"/>
                <w:b/>
                <w:bCs w:val="0"/>
                <w:color w:val="auto"/>
                <w:kern w:val="0"/>
                <w:sz w:val="24"/>
                <w:szCs w:val="21"/>
              </w:rPr>
            </w:pPr>
            <w:r>
              <w:rPr>
                <w:rFonts w:hint="eastAsia" w:ascii="仿宋_GB2312" w:hAnsi="仿宋_GB2312" w:eastAsia="仿宋_GB2312" w:cs="仿宋_GB2312"/>
                <w:b/>
                <w:bCs w:val="0"/>
                <w:color w:val="auto"/>
                <w:kern w:val="0"/>
                <w:sz w:val="24"/>
                <w:szCs w:val="21"/>
                <w:lang w:val="en-US" w:eastAsia="zh-CN" w:bidi="ar-SA"/>
              </w:rPr>
              <w:t>万宁市兴隆侨乡特色文旅融合发展基地建设项目</w:t>
            </w:r>
          </w:p>
        </w:tc>
        <w:tc>
          <w:tcPr>
            <w:tcW w:w="339" w:type="pct"/>
            <w:tcBorders>
              <w:top w:val="nil"/>
              <w:left w:val="nil"/>
              <w:bottom w:val="single" w:color="auto" w:sz="4" w:space="0"/>
              <w:right w:val="single" w:color="auto" w:sz="4" w:space="0"/>
            </w:tcBorders>
            <w:shd w:val="clear" w:color="auto" w:fill="auto"/>
            <w:vAlign w:val="center"/>
          </w:tcPr>
          <w:p w14:paraId="159E8742">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5E1DDABF">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1</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核心游乐区，融合华侨+东南亚双主题。</w:t>
            </w:r>
          </w:p>
          <w:p w14:paraId="45F17BC8">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rPr>
              <w:t>南洋探险刺激区：建设“下南洋航线”过山车、“火山漂流”和高空秋千“望乡塔”，适配低空经济（动力滑翔伞、低空跳伞、无人机+烟花秀）。</w:t>
            </w: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rPr>
              <w:t>亲子侨乡互动区：打造“华侨农场小火车”“南洋手作工坊”“热带植物迷宫”。</w:t>
            </w: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rPr>
              <w:t>东南亚风情休闲区：规划“湄南河游船”“旋转金塔”“水果大转盘”。</w:t>
            </w:r>
          </w:p>
          <w:p w14:paraId="39795FEE">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2</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主题沉浸配套，强化华侨文化体验。</w:t>
            </w:r>
          </w:p>
          <w:p w14:paraId="42DBFA32">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rPr>
              <w:t>侨乡文化景观体系：入口打造“华侨迁徙浮雕墙”，园区主干道设置“南洋风情街”，复刻兴隆老街区风貌，包含侨乡骑楼建筑、东南亚特色商铺外立面，散布归侨创业故事雕塑、咖啡文化主题装置；</w:t>
            </w: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rPr>
              <w:t>特色演艺场地：建设“南洋大剧院”，常态化上演华侨民俗歌舞、东南亚传统乐器表演、“下南洋”情景舞台剧；设置露天演艺广场，定期举办侨乡庙会、东南亚泼水节、咖啡文化节（融入“空中咖啡厅”热气球项目）等主题活动；</w:t>
            </w: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rPr>
              <w:t>主题商业集群：融入高端食品制造，规划“侨乡美食街”，汇集印尼炒饭、娘惹糕、兴隆咖啡等特色餐饮，部分店铺由归侨后裔经营、“南洋手信城”售卖华侨手工艺品、东南亚特产、游乐场主题周边，配套侨乡茶馆、东南亚风情咖啡馆。</w:t>
            </w:r>
          </w:p>
          <w:p w14:paraId="11B9C42A">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3</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服务保障设施，适配文旅和交流需求。</w:t>
            </w:r>
          </w:p>
          <w:p w14:paraId="649A4199">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rPr>
              <w:t>游客服务中心：采用侨乡建筑风格，依托泰国红椰林，建设泰式竹楼，提供多语言咨询、行李寄存、母婴室、残疾人无障碍服务，增设“华侨文化展示角”；</w:t>
            </w: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rPr>
              <w:t>基础保障配套：建设生态停车场，园区内设置侨乡风格休息亭、遮阳长廊；配备医疗急救站（含多语种医护人员）、智能导览系统（支持华侨文化语音讲解）、应急避难场所；</w:t>
            </w: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rPr>
              <w:t>餐饮住宿配套：打造“南洋度假酒店”（客房设计融入华侨家居元素与东南亚软装），配套24小时便利店、咖啡驿站。</w:t>
            </w:r>
          </w:p>
        </w:tc>
        <w:tc>
          <w:tcPr>
            <w:tcW w:w="242" w:type="pct"/>
            <w:tcBorders>
              <w:top w:val="nil"/>
              <w:left w:val="nil"/>
              <w:bottom w:val="single" w:color="auto" w:sz="4" w:space="0"/>
              <w:right w:val="single" w:color="auto" w:sz="4" w:space="0"/>
            </w:tcBorders>
            <w:shd w:val="clear" w:color="auto" w:fill="auto"/>
            <w:vAlign w:val="center"/>
          </w:tcPr>
          <w:p w14:paraId="17C556C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31B5BF82">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30000</w:t>
            </w:r>
          </w:p>
        </w:tc>
        <w:tc>
          <w:tcPr>
            <w:tcW w:w="385" w:type="pct"/>
            <w:tcBorders>
              <w:top w:val="nil"/>
              <w:left w:val="nil"/>
              <w:bottom w:val="single" w:color="auto" w:sz="4" w:space="0"/>
              <w:right w:val="single" w:color="auto" w:sz="4" w:space="0"/>
            </w:tcBorders>
            <w:shd w:val="clear" w:color="auto" w:fill="auto"/>
            <w:vAlign w:val="center"/>
          </w:tcPr>
          <w:p w14:paraId="0F6E615D">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9</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79F27831">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文化旅游</w:t>
            </w:r>
          </w:p>
        </w:tc>
      </w:tr>
      <w:tr w14:paraId="530EE955">
        <w:tblPrEx>
          <w:tblCellMar>
            <w:top w:w="0" w:type="dxa"/>
            <w:left w:w="108" w:type="dxa"/>
            <w:bottom w:w="0" w:type="dxa"/>
            <w:right w:w="108" w:type="dxa"/>
          </w:tblCellMar>
        </w:tblPrEx>
        <w:trPr>
          <w:trHeight w:val="604"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158522A">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8</w:t>
            </w:r>
          </w:p>
        </w:tc>
        <w:tc>
          <w:tcPr>
            <w:tcW w:w="610" w:type="pct"/>
            <w:tcBorders>
              <w:top w:val="nil"/>
              <w:left w:val="nil"/>
              <w:bottom w:val="single" w:color="auto" w:sz="4" w:space="0"/>
              <w:right w:val="single" w:color="auto" w:sz="4" w:space="0"/>
            </w:tcBorders>
            <w:shd w:val="clear" w:color="auto" w:fill="auto"/>
            <w:vAlign w:val="center"/>
          </w:tcPr>
          <w:p w14:paraId="58202F01">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兴隆国家体育公园项目</w:t>
            </w:r>
          </w:p>
        </w:tc>
        <w:tc>
          <w:tcPr>
            <w:tcW w:w="339" w:type="pct"/>
            <w:tcBorders>
              <w:top w:val="nil"/>
              <w:left w:val="nil"/>
              <w:bottom w:val="single" w:color="auto" w:sz="4" w:space="0"/>
              <w:right w:val="single" w:color="auto" w:sz="4" w:space="0"/>
            </w:tcBorders>
            <w:shd w:val="clear" w:color="auto" w:fill="auto"/>
            <w:vAlign w:val="center"/>
          </w:tcPr>
          <w:p w14:paraId="6671DA4E">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270F85A9">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lang w:eastAsia="zh-CN"/>
              </w:rPr>
              <w:t>分两期打造带有健身娱乐、赛事演艺功能的，可承接国家演绎体育集群项目，可做网球和游泳馆培训教研，具体如下：</w:t>
            </w:r>
          </w:p>
          <w:p w14:paraId="15D26C4F">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1</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lang w:eastAsia="zh-CN"/>
              </w:rPr>
              <w:t>体育公园（一期）：主要建有室外球场、健身广场、健身步道、儿童主题乐园及相应室外配套：</w:t>
            </w: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lang w:eastAsia="zh-CN"/>
              </w:rPr>
              <w:t>常规球类（室外），包括1座7人足球场、2座5人足球场、2座网球场、自行车碗池；</w:t>
            </w: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lang w:eastAsia="zh-CN"/>
              </w:rPr>
              <w:t>健身广场；</w:t>
            </w: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lang w:eastAsia="zh-CN"/>
              </w:rPr>
              <w:t>健身步道；</w:t>
            </w:r>
            <w:r>
              <w:rPr>
                <w:rFonts w:hint="eastAsia" w:cs="仿宋_GB2312"/>
                <w:bCs/>
                <w:color w:val="auto"/>
                <w:kern w:val="0"/>
                <w:sz w:val="24"/>
                <w:szCs w:val="21"/>
                <w:lang w:val="en-US" w:eastAsia="zh-CN"/>
              </w:rPr>
              <w:t>④</w:t>
            </w:r>
            <w:r>
              <w:rPr>
                <w:rFonts w:hint="eastAsia" w:ascii="仿宋_GB2312" w:hAnsi="仿宋_GB2312" w:eastAsia="仿宋_GB2312" w:cs="仿宋_GB2312"/>
                <w:bCs/>
                <w:color w:val="auto"/>
                <w:kern w:val="0"/>
                <w:sz w:val="24"/>
                <w:szCs w:val="21"/>
                <w:lang w:eastAsia="zh-CN"/>
              </w:rPr>
              <w:t>儿童主题乐园，包括滑梯、平衡木、无动力乐园等；</w:t>
            </w:r>
            <w:r>
              <w:rPr>
                <w:rFonts w:hint="eastAsia" w:cs="仿宋_GB2312"/>
                <w:bCs/>
                <w:color w:val="auto"/>
                <w:kern w:val="0"/>
                <w:sz w:val="24"/>
                <w:szCs w:val="21"/>
                <w:lang w:val="en-US" w:eastAsia="zh-CN"/>
              </w:rPr>
              <w:t>⑤</w:t>
            </w:r>
            <w:r>
              <w:rPr>
                <w:rFonts w:hint="eastAsia" w:ascii="仿宋_GB2312" w:hAnsi="仿宋_GB2312" w:eastAsia="仿宋_GB2312" w:cs="仿宋_GB2312"/>
                <w:bCs/>
                <w:color w:val="auto"/>
                <w:kern w:val="0"/>
                <w:sz w:val="24"/>
                <w:szCs w:val="21"/>
                <w:lang w:eastAsia="zh-CN"/>
              </w:rPr>
              <w:t>室外配套工程，包括室外停车场、综合服务中心、园林绿化等。</w:t>
            </w:r>
          </w:p>
          <w:p w14:paraId="4D952540">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2</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lang w:eastAsia="zh-CN"/>
              </w:rPr>
              <w:t>体育公园（二期）：</w:t>
            </w: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lang w:eastAsia="zh-CN"/>
              </w:rPr>
              <w:t>竞赛与表演场地。一是建设标准的体育竞赛场地，具备冰篮转换功能，能举办篮球、排球、网球等球类赛事，以及游泳、滑冰等项目比赛，满足不同体育赛事的需求。二是设置专业的演出舞台，配备中央斗屏和环屏，确保远距离观众也能清晰观看比赛。三是设置专门的网球和游泳馆培训教研场所。</w:t>
            </w: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lang w:eastAsia="zh-CN"/>
              </w:rPr>
              <w:t>观众区域。要规划设计足够的观众</w:t>
            </w:r>
            <w:r>
              <w:rPr>
                <w:rFonts w:hint="eastAsia" w:cs="仿宋_GB2312"/>
                <w:bCs/>
                <w:color w:val="auto"/>
                <w:kern w:val="0"/>
                <w:sz w:val="24"/>
                <w:szCs w:val="21"/>
                <w:lang w:val="en-US" w:eastAsia="zh-CN"/>
              </w:rPr>
              <w:t>座席</w:t>
            </w:r>
            <w:r>
              <w:rPr>
                <w:rFonts w:hint="eastAsia" w:ascii="仿宋_GB2312" w:hAnsi="仿宋_GB2312" w:eastAsia="仿宋_GB2312" w:cs="仿宋_GB2312"/>
                <w:bCs/>
                <w:color w:val="auto"/>
                <w:kern w:val="0"/>
                <w:sz w:val="24"/>
                <w:szCs w:val="21"/>
                <w:lang w:eastAsia="zh-CN"/>
              </w:rPr>
              <w:t>或站立空间，设置1.2万</w:t>
            </w:r>
            <w:r>
              <w:rPr>
                <w:rFonts w:hint="eastAsia" w:cs="仿宋_GB2312"/>
                <w:bCs/>
                <w:color w:val="auto"/>
                <w:kern w:val="0"/>
                <w:sz w:val="24"/>
                <w:szCs w:val="21"/>
                <w:lang w:val="en-US" w:eastAsia="zh-CN"/>
              </w:rPr>
              <w:t>个</w:t>
            </w:r>
            <w:r>
              <w:rPr>
                <w:rFonts w:hint="eastAsia" w:ascii="仿宋_GB2312" w:hAnsi="仿宋_GB2312" w:eastAsia="仿宋_GB2312" w:cs="仿宋_GB2312"/>
                <w:bCs/>
                <w:color w:val="auto"/>
                <w:kern w:val="0"/>
                <w:sz w:val="24"/>
                <w:szCs w:val="21"/>
                <w:lang w:eastAsia="zh-CN"/>
              </w:rPr>
              <w:t>环绕型座位，分为固定和活动座椅，颜色参考侨乡文化设计，可根据赛事需求灵活调整，配备VIP包厢，满足不同观众需求。</w:t>
            </w: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lang w:eastAsia="zh-CN"/>
              </w:rPr>
              <w:t>配套功能区。一是设置运动员休息室、更衣室、淋浴室等，为参赛运动员提供便利。二是配备媒体采访区、新闻发布厅等，满足媒体报道需求，以及颁奖物资储备库、礼仪人员准备区等，保障颁奖仪式顺利进行。</w:t>
            </w:r>
            <w:r>
              <w:rPr>
                <w:rFonts w:hint="eastAsia" w:cs="仿宋_GB2312"/>
                <w:bCs/>
                <w:color w:val="auto"/>
                <w:kern w:val="0"/>
                <w:sz w:val="24"/>
                <w:szCs w:val="21"/>
                <w:lang w:val="en-US" w:eastAsia="zh-CN"/>
              </w:rPr>
              <w:t>④</w:t>
            </w:r>
            <w:r>
              <w:rPr>
                <w:rFonts w:hint="eastAsia" w:ascii="仿宋_GB2312" w:hAnsi="仿宋_GB2312" w:eastAsia="仿宋_GB2312" w:cs="仿宋_GB2312"/>
                <w:bCs/>
                <w:color w:val="auto"/>
                <w:kern w:val="0"/>
                <w:sz w:val="24"/>
                <w:szCs w:val="21"/>
                <w:lang w:eastAsia="zh-CN"/>
              </w:rPr>
              <w:t>4.基础设施。安装专业的照明系统，满足赛事和演艺活动在夜间举行的需求。配备高质量的音响系统，确保声音清晰、均匀覆盖整个场地。同时完善给排水系统、电力供应系统等。</w:t>
            </w:r>
          </w:p>
          <w:p w14:paraId="149861DF">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3</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lang w:eastAsia="zh-CN"/>
              </w:rPr>
              <w:t>国际体育培训学校：</w:t>
            </w: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lang w:eastAsia="zh-CN"/>
              </w:rPr>
              <w:t>专业运动训练场馆。建设田径场、游泳馆、球类馆（含国际赛事级场地）、体操馆（含蹦床、平衡木等）和格斗馆（拳击/柔道/跆拳道场地），配备体能训练馆和运动康复中心</w:t>
            </w:r>
            <w:r>
              <w:rPr>
                <w:rFonts w:hint="eastAsia" w:cs="仿宋_GB2312"/>
                <w:bCs/>
                <w:color w:val="auto"/>
                <w:kern w:val="0"/>
                <w:sz w:val="24"/>
                <w:szCs w:val="21"/>
                <w:lang w:eastAsia="zh-CN"/>
              </w:rPr>
              <w:t>；</w:t>
            </w:r>
          </w:p>
          <w:p w14:paraId="1494708B">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lang w:eastAsia="zh-CN"/>
              </w:rPr>
              <w:t>理论教学区。国际交流中心、多媒体教室（配备双语教学设备）、阶梯报告厅（用于赛事分析）和图书馆。</w:t>
            </w:r>
          </w:p>
        </w:tc>
        <w:tc>
          <w:tcPr>
            <w:tcW w:w="242" w:type="pct"/>
            <w:tcBorders>
              <w:top w:val="nil"/>
              <w:left w:val="nil"/>
              <w:bottom w:val="single" w:color="auto" w:sz="4" w:space="0"/>
              <w:right w:val="single" w:color="auto" w:sz="4" w:space="0"/>
            </w:tcBorders>
            <w:shd w:val="clear" w:color="auto" w:fill="auto"/>
            <w:vAlign w:val="center"/>
          </w:tcPr>
          <w:p w14:paraId="4DD05551">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5163B87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180000</w:t>
            </w:r>
          </w:p>
        </w:tc>
        <w:tc>
          <w:tcPr>
            <w:tcW w:w="385" w:type="pct"/>
            <w:tcBorders>
              <w:top w:val="nil"/>
              <w:left w:val="nil"/>
              <w:bottom w:val="single" w:color="auto" w:sz="4" w:space="0"/>
              <w:right w:val="single" w:color="auto" w:sz="4" w:space="0"/>
            </w:tcBorders>
            <w:shd w:val="clear" w:color="auto" w:fill="auto"/>
            <w:vAlign w:val="center"/>
          </w:tcPr>
          <w:p w14:paraId="37E3897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30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0B8E2BF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rPr>
              <w:t>体育</w:t>
            </w:r>
            <w:r>
              <w:rPr>
                <w:rFonts w:hint="eastAsia" w:ascii="仿宋_GB2312" w:hAnsi="仿宋_GB2312" w:eastAsia="仿宋_GB2312" w:cs="仿宋_GB2312"/>
                <w:bCs/>
                <w:color w:val="auto"/>
                <w:kern w:val="0"/>
                <w:sz w:val="24"/>
                <w:szCs w:val="21"/>
              </w:rPr>
              <w:t>旅游</w:t>
            </w:r>
          </w:p>
        </w:tc>
      </w:tr>
      <w:tr w14:paraId="0552BBB4">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2A3C65CD">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9</w:t>
            </w:r>
          </w:p>
        </w:tc>
        <w:tc>
          <w:tcPr>
            <w:tcW w:w="610" w:type="pct"/>
            <w:tcBorders>
              <w:top w:val="nil"/>
              <w:left w:val="nil"/>
              <w:bottom w:val="single" w:color="auto" w:sz="4" w:space="0"/>
              <w:right w:val="single" w:color="auto" w:sz="4" w:space="0"/>
            </w:tcBorders>
            <w:shd w:val="clear" w:color="auto" w:fill="auto"/>
            <w:vAlign w:val="center"/>
          </w:tcPr>
          <w:p w14:paraId="5D68FC11">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热带植物园提质升级项目</w:t>
            </w:r>
          </w:p>
        </w:tc>
        <w:tc>
          <w:tcPr>
            <w:tcW w:w="339" w:type="pct"/>
            <w:tcBorders>
              <w:top w:val="nil"/>
              <w:left w:val="nil"/>
              <w:bottom w:val="single" w:color="auto" w:sz="4" w:space="0"/>
              <w:right w:val="single" w:color="auto" w:sz="4" w:space="0"/>
            </w:tcBorders>
            <w:shd w:val="clear" w:color="auto" w:fill="auto"/>
            <w:vAlign w:val="center"/>
          </w:tcPr>
          <w:p w14:paraId="3297B735">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7AD53446">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拟扩建1500亩土地，打造4A级热带植物园，主要建设如下：</w:t>
            </w:r>
          </w:p>
          <w:p w14:paraId="18D9697E">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①</w:t>
            </w:r>
            <w:r>
              <w:rPr>
                <w:rFonts w:hint="eastAsia" w:ascii="仿宋_GB2312" w:hAnsi="仿宋_GB2312" w:eastAsia="仿宋_GB2312" w:cs="仿宋_GB2312"/>
                <w:bCs/>
                <w:color w:val="auto"/>
                <w:kern w:val="0"/>
                <w:sz w:val="24"/>
                <w:szCs w:val="21"/>
                <w:lang w:val="en-US" w:eastAsia="zh-CN" w:bidi="ar-SA"/>
              </w:rPr>
              <w:t>植物种质资源保护体系强化。重点收集热带海岛珍稀濒危植物、特有植物及重要农作物近缘种等，扩充现有植物的储备量，同时配合扩建植物资源保存库与热带植物标本馆，还会新建种子种苗繁育基地，为植物种质资源长期保存和培育提供保障。</w:t>
            </w:r>
          </w:p>
          <w:p w14:paraId="31B88E18">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②</w:t>
            </w:r>
            <w:r>
              <w:rPr>
                <w:rFonts w:hint="eastAsia" w:ascii="仿宋_GB2312" w:hAnsi="仿宋_GB2312" w:eastAsia="仿宋_GB2312" w:cs="仿宋_GB2312"/>
                <w:bCs/>
                <w:color w:val="auto"/>
                <w:kern w:val="0"/>
                <w:sz w:val="24"/>
                <w:szCs w:val="21"/>
                <w:lang w:val="en-US" w:eastAsia="zh-CN" w:bidi="ar-SA"/>
              </w:rPr>
              <w:t>科研创新平台搭建。接入海南国家植物园统一规划的热带植物科学研究中心、植物科学数据中心及智慧平台等，借助这些平台开展热带植物多样性研究、迁地保护技术攻关等工作，同时可参与构建与热带国家和地区的联合保护网络，助力热带植物可持续利用研究。</w:t>
            </w:r>
          </w:p>
          <w:p w14:paraId="6171FF52">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③</w:t>
            </w:r>
            <w:r>
              <w:rPr>
                <w:rFonts w:hint="eastAsia" w:ascii="仿宋_GB2312" w:hAnsi="仿宋_GB2312" w:eastAsia="仿宋_GB2312" w:cs="仿宋_GB2312"/>
                <w:bCs/>
                <w:color w:val="auto"/>
                <w:kern w:val="0"/>
                <w:sz w:val="24"/>
                <w:szCs w:val="21"/>
                <w:lang w:val="en-US" w:eastAsia="zh-CN" w:bidi="ar-SA"/>
              </w:rPr>
              <w:t>园区基础设施提质改造。推进多项基础设施工程，包括建设珍稀作物栽培试验温室、实验冻库等科研配套设施，以及农机具充电站、各类功能棚等；同时改造生态蓄水塘、排水沟与生态护坡，完善道路硬化、供电给排水、安防及太阳能路灯等设施，还会开展绿化生态修复，夯实园区运营保障能力。</w:t>
            </w:r>
          </w:p>
          <w:p w14:paraId="4C4A10B6">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④</w:t>
            </w:r>
            <w:r>
              <w:rPr>
                <w:rFonts w:hint="eastAsia" w:ascii="仿宋_GB2312" w:hAnsi="仿宋_GB2312" w:eastAsia="仿宋_GB2312" w:cs="仿宋_GB2312"/>
                <w:bCs/>
                <w:color w:val="auto"/>
                <w:kern w:val="0"/>
                <w:sz w:val="24"/>
                <w:szCs w:val="21"/>
                <w:lang w:val="en-US" w:eastAsia="zh-CN" w:bidi="ar-SA"/>
              </w:rPr>
              <w:t>科普与文旅功能升级。一方面新建热带植物园科普馆，丰富巧克力、芳香等现有体验馆的展示内容，强化热带植物科普传播；另一方面推进景区向5A升级，更新电瓶车等旅游装备，结合侨乡文化开发沉浸式研学和生态旅游项目，实现科普与旅游的深度融合。"</w:t>
            </w:r>
          </w:p>
        </w:tc>
        <w:tc>
          <w:tcPr>
            <w:tcW w:w="242" w:type="pct"/>
            <w:tcBorders>
              <w:top w:val="nil"/>
              <w:left w:val="nil"/>
              <w:bottom w:val="single" w:color="auto" w:sz="4" w:space="0"/>
              <w:right w:val="single" w:color="auto" w:sz="4" w:space="0"/>
            </w:tcBorders>
            <w:shd w:val="clear" w:color="auto" w:fill="auto"/>
            <w:vAlign w:val="center"/>
          </w:tcPr>
          <w:p w14:paraId="1D28D01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7643AB5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10000</w:t>
            </w:r>
          </w:p>
        </w:tc>
        <w:tc>
          <w:tcPr>
            <w:tcW w:w="385" w:type="pct"/>
            <w:tcBorders>
              <w:top w:val="nil"/>
              <w:left w:val="nil"/>
              <w:bottom w:val="single" w:color="auto" w:sz="4" w:space="0"/>
              <w:right w:val="single" w:color="auto" w:sz="4" w:space="0"/>
            </w:tcBorders>
            <w:shd w:val="clear" w:color="auto" w:fill="auto"/>
            <w:vAlign w:val="center"/>
          </w:tcPr>
          <w:p w14:paraId="655EC9C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2D61D33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rPr>
              <w:t>研学</w:t>
            </w:r>
            <w:r>
              <w:rPr>
                <w:rFonts w:hint="eastAsia" w:ascii="仿宋_GB2312" w:hAnsi="仿宋_GB2312" w:eastAsia="仿宋_GB2312" w:cs="仿宋_GB2312"/>
                <w:bCs/>
                <w:color w:val="auto"/>
                <w:kern w:val="0"/>
                <w:sz w:val="24"/>
                <w:szCs w:val="21"/>
              </w:rPr>
              <w:t>旅游</w:t>
            </w:r>
          </w:p>
        </w:tc>
      </w:tr>
      <w:tr w14:paraId="3E3C4526">
        <w:tblPrEx>
          <w:tblCellMar>
            <w:top w:w="0" w:type="dxa"/>
            <w:left w:w="108" w:type="dxa"/>
            <w:bottom w:w="0" w:type="dxa"/>
            <w:right w:w="108" w:type="dxa"/>
          </w:tblCellMar>
        </w:tblPrEx>
        <w:trPr>
          <w:trHeight w:val="266"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0E2FC14E">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rPr>
            </w:pPr>
            <w:r>
              <w:rPr>
                <w:rFonts w:hint="eastAsia" w:ascii="仿宋_GB2312" w:hAnsi="仿宋_GB2312" w:eastAsia="仿宋_GB2312" w:cs="仿宋_GB2312"/>
                <w:b/>
                <w:color w:val="auto"/>
                <w:kern w:val="0"/>
                <w:sz w:val="24"/>
                <w:szCs w:val="21"/>
                <w:lang w:val="en-US" w:eastAsia="zh-CN"/>
              </w:rPr>
              <w:t>10</w:t>
            </w:r>
          </w:p>
        </w:tc>
        <w:tc>
          <w:tcPr>
            <w:tcW w:w="610" w:type="pct"/>
            <w:tcBorders>
              <w:top w:val="nil"/>
              <w:left w:val="nil"/>
              <w:bottom w:val="single" w:color="auto" w:sz="4" w:space="0"/>
              <w:right w:val="single" w:color="auto" w:sz="4" w:space="0"/>
            </w:tcBorders>
            <w:shd w:val="clear" w:color="auto" w:fill="auto"/>
            <w:vAlign w:val="center"/>
          </w:tcPr>
          <w:p w14:paraId="09C0DCBA">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华侨文化交流中心</w:t>
            </w:r>
          </w:p>
        </w:tc>
        <w:tc>
          <w:tcPr>
            <w:tcW w:w="339" w:type="pct"/>
            <w:tcBorders>
              <w:top w:val="nil"/>
              <w:left w:val="nil"/>
              <w:bottom w:val="single" w:color="auto" w:sz="4" w:space="0"/>
              <w:right w:val="single" w:color="auto" w:sz="4" w:space="0"/>
            </w:tcBorders>
            <w:shd w:val="clear" w:color="auto" w:fill="auto"/>
            <w:vAlign w:val="center"/>
          </w:tcPr>
          <w:p w14:paraId="7CF4DBD5">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7A8E7255">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突出“华侨历史文化传承”与“跨文化交流”特色，围绕“功能适配、文物保护、体验升级”三大核心，通过盘活固体资产，分区建设：</w:t>
            </w:r>
          </w:p>
          <w:p w14:paraId="10700DBC">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①</w:t>
            </w:r>
            <w:r>
              <w:rPr>
                <w:rFonts w:hint="eastAsia" w:ascii="仿宋_GB2312" w:hAnsi="仿宋_GB2312" w:eastAsia="仿宋_GB2312" w:cs="仿宋_GB2312"/>
                <w:bCs/>
                <w:color w:val="auto"/>
                <w:kern w:val="0"/>
                <w:sz w:val="24"/>
                <w:szCs w:val="21"/>
                <w:lang w:val="en-US" w:eastAsia="zh-CN" w:bidi="ar-SA"/>
              </w:rPr>
              <w:t>建设兴隆华侨农场展览馆。通过改造兴隆迎宾馆，设置陈列展厅、专业文物库房、公共服务区、行政教研区、附属用房。从“领袖情怀”“归侨情怀”和“百姓情怀”三方面，核心打造三大展示板块，一是党和国家领导人关怀华侨的史迹；二是归侨、难侨在兴隆的创业历程，三是兴隆百姓对兴隆咖啡的热爱和深情经久不衰；同时配备专业解说员，挖掘华侨文化与爱国主义教育资源，讲述农场归侨生存状态与改革变迁，全面展示归侨发展历程与多元习俗。</w:t>
            </w:r>
          </w:p>
          <w:p w14:paraId="4716D204">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②</w:t>
            </w:r>
            <w:r>
              <w:rPr>
                <w:rFonts w:hint="eastAsia" w:ascii="仿宋_GB2312" w:hAnsi="仿宋_GB2312" w:eastAsia="仿宋_GB2312" w:cs="仿宋_GB2312"/>
                <w:bCs/>
                <w:color w:val="auto"/>
                <w:kern w:val="0"/>
                <w:sz w:val="24"/>
                <w:szCs w:val="21"/>
                <w:lang w:val="en-US" w:eastAsia="zh-CN" w:bidi="ar-SA"/>
              </w:rPr>
              <w:t>建设东南亚美食城，设置会展会议区。成为中国与中南亚国家的会议交流中心，为50周年庆提供正式会议会展场地，美食和文化的碰撞场所。</w:t>
            </w:r>
          </w:p>
          <w:p w14:paraId="13A71519">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③</w:t>
            </w:r>
            <w:r>
              <w:rPr>
                <w:rFonts w:hint="eastAsia" w:ascii="仿宋_GB2312" w:hAnsi="仿宋_GB2312" w:eastAsia="仿宋_GB2312" w:cs="仿宋_GB2312"/>
                <w:bCs/>
                <w:color w:val="auto"/>
                <w:kern w:val="0"/>
                <w:sz w:val="24"/>
                <w:szCs w:val="21"/>
                <w:lang w:val="en-US" w:eastAsia="zh-CN" w:bidi="ar-SA"/>
              </w:rPr>
              <w:t>专项配套设施：安防系统（文物防损监控、史料防霉变设备）、消防系统（适配纸质文物、纺织品的专用灭火设施）、弱电系统（多语言广播、应急通讯、研学直播设备），兼顾文物保护与使用需求。</w:t>
            </w:r>
          </w:p>
          <w:p w14:paraId="545DB612">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④</w:t>
            </w:r>
            <w:r>
              <w:rPr>
                <w:rFonts w:hint="eastAsia" w:ascii="仿宋_GB2312" w:hAnsi="仿宋_GB2312" w:eastAsia="仿宋_GB2312" w:cs="仿宋_GB2312"/>
                <w:bCs/>
                <w:color w:val="auto"/>
                <w:kern w:val="0"/>
                <w:sz w:val="24"/>
                <w:szCs w:val="21"/>
                <w:lang w:val="en-US" w:eastAsia="zh-CN" w:bidi="ar-SA"/>
              </w:rPr>
              <w:t>室外与文化景观工程：场馆周边绿化、侨文化主题广场（华侨名人雕塑、海外侨胞聚居地地图景观）、无障碍通道、侨乡特色绿植配置，呼应华侨文化内涵与公共文化设施的开放性。</w:t>
            </w:r>
          </w:p>
        </w:tc>
        <w:tc>
          <w:tcPr>
            <w:tcW w:w="242" w:type="pct"/>
            <w:tcBorders>
              <w:top w:val="nil"/>
              <w:left w:val="nil"/>
              <w:bottom w:val="single" w:color="auto" w:sz="4" w:space="0"/>
              <w:right w:val="single" w:color="auto" w:sz="4" w:space="0"/>
            </w:tcBorders>
            <w:shd w:val="clear" w:color="auto" w:fill="auto"/>
            <w:vAlign w:val="center"/>
          </w:tcPr>
          <w:p w14:paraId="4C6A7B2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10E09F1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10000</w:t>
            </w:r>
          </w:p>
        </w:tc>
        <w:tc>
          <w:tcPr>
            <w:tcW w:w="385" w:type="pct"/>
            <w:tcBorders>
              <w:top w:val="nil"/>
              <w:left w:val="nil"/>
              <w:bottom w:val="single" w:color="auto" w:sz="4" w:space="0"/>
              <w:right w:val="single" w:color="auto" w:sz="4" w:space="0"/>
            </w:tcBorders>
            <w:shd w:val="clear" w:color="auto" w:fill="auto"/>
            <w:vAlign w:val="center"/>
          </w:tcPr>
          <w:p w14:paraId="6CB22EC6">
            <w:pPr>
              <w:widowControl/>
              <w:spacing w:line="240" w:lineRule="auto"/>
              <w:ind w:firstLine="0" w:firstLineChars="0"/>
              <w:jc w:val="left"/>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26</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690A082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文化旅游</w:t>
            </w:r>
          </w:p>
        </w:tc>
      </w:tr>
      <w:tr w14:paraId="59C107E5">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403D6BE7">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rPr>
              <w:t>11</w:t>
            </w:r>
          </w:p>
        </w:tc>
        <w:tc>
          <w:tcPr>
            <w:tcW w:w="610" w:type="pct"/>
            <w:tcBorders>
              <w:top w:val="nil"/>
              <w:left w:val="nil"/>
              <w:bottom w:val="single" w:color="auto" w:sz="4" w:space="0"/>
              <w:right w:val="single" w:color="auto" w:sz="4" w:space="0"/>
            </w:tcBorders>
            <w:shd w:val="clear" w:color="auto" w:fill="auto"/>
            <w:vAlign w:val="center"/>
          </w:tcPr>
          <w:p w14:paraId="554384CE">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海南自贸港万宁免税消费新场景配套升级项目</w:t>
            </w:r>
          </w:p>
        </w:tc>
        <w:tc>
          <w:tcPr>
            <w:tcW w:w="339" w:type="pct"/>
            <w:tcBorders>
              <w:top w:val="nil"/>
              <w:left w:val="nil"/>
              <w:bottom w:val="single" w:color="auto" w:sz="4" w:space="0"/>
              <w:right w:val="single" w:color="auto" w:sz="4" w:space="0"/>
            </w:tcBorders>
            <w:shd w:val="clear" w:color="auto" w:fill="auto"/>
            <w:vAlign w:val="center"/>
          </w:tcPr>
          <w:p w14:paraId="2A20953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兴隆区</w:t>
            </w:r>
          </w:p>
        </w:tc>
        <w:tc>
          <w:tcPr>
            <w:tcW w:w="2551" w:type="pct"/>
            <w:tcBorders>
              <w:top w:val="nil"/>
              <w:left w:val="nil"/>
              <w:bottom w:val="single" w:color="auto" w:sz="4" w:space="0"/>
              <w:right w:val="single" w:color="auto" w:sz="4" w:space="0"/>
            </w:tcBorders>
            <w:shd w:val="clear" w:color="auto" w:fill="auto"/>
            <w:vAlign w:val="center"/>
          </w:tcPr>
          <w:p w14:paraId="13F3FB62">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围绕王府井免税商城，配套建设离岛免税设施。主要内容如下：</w:t>
            </w:r>
          </w:p>
          <w:p w14:paraId="12B61670">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①</w:t>
            </w:r>
            <w:r>
              <w:rPr>
                <w:rFonts w:hint="eastAsia" w:ascii="仿宋_GB2312" w:hAnsi="仿宋_GB2312" w:eastAsia="仿宋_GB2312" w:cs="仿宋_GB2312"/>
                <w:bCs/>
                <w:color w:val="auto"/>
                <w:kern w:val="0"/>
                <w:sz w:val="24"/>
                <w:szCs w:val="21"/>
                <w:lang w:val="en-US" w:eastAsia="zh-CN" w:bidi="ar-SA"/>
              </w:rPr>
              <w:t>商业业态配套。重点升级精品免税品牌，引入珠宝腕表及斯巴达室内竞技体验场等特色业态。</w:t>
            </w:r>
          </w:p>
          <w:p w14:paraId="56D72EFA">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②</w:t>
            </w:r>
            <w:r>
              <w:rPr>
                <w:rFonts w:hint="eastAsia" w:ascii="仿宋_GB2312" w:hAnsi="仿宋_GB2312" w:eastAsia="仿宋_GB2312" w:cs="仿宋_GB2312"/>
                <w:bCs/>
                <w:color w:val="auto"/>
                <w:kern w:val="0"/>
                <w:sz w:val="24"/>
                <w:szCs w:val="21"/>
                <w:lang w:val="en-US" w:eastAsia="zh-CN" w:bidi="ar-SA"/>
              </w:rPr>
              <w:t>文旅与休闲配套。打造赛事级陆冲公园、海南首个汽车影院及房车和帐篷营地。引入Fan Town足球IP华南首店与高尔夫室内体验店，汇集专业户外运动品牌，适配万宁冲浪、高尔夫等文旅资源，推出“免税购物+体育旅游”套餐。此外常举办音乐节、烟花秀等活动，还联合IP推出年货节、新春游园等特色活动，打造“最好玩的免税店”。</w:t>
            </w:r>
          </w:p>
          <w:p w14:paraId="33ED40F2">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③</w:t>
            </w:r>
            <w:r>
              <w:rPr>
                <w:rFonts w:hint="eastAsia" w:ascii="仿宋_GB2312" w:hAnsi="仿宋_GB2312" w:eastAsia="仿宋_GB2312" w:cs="仿宋_GB2312"/>
                <w:bCs/>
                <w:color w:val="auto"/>
                <w:kern w:val="0"/>
                <w:sz w:val="24"/>
                <w:szCs w:val="21"/>
                <w:lang w:val="en-US" w:eastAsia="zh-CN" w:bidi="ar-SA"/>
              </w:rPr>
              <w:t>物流与监管配套：适配离岛免税“即购即提”“担保即提”等提货方式，规划建设免税仓储物流配送中心与商品展示交易中心。</w:t>
            </w:r>
          </w:p>
          <w:p w14:paraId="5FE36E7D">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④</w:t>
            </w:r>
            <w:r>
              <w:rPr>
                <w:rFonts w:hint="eastAsia" w:ascii="仿宋_GB2312" w:hAnsi="仿宋_GB2312" w:eastAsia="仿宋_GB2312" w:cs="仿宋_GB2312"/>
                <w:bCs/>
                <w:color w:val="auto"/>
                <w:kern w:val="0"/>
                <w:sz w:val="24"/>
                <w:szCs w:val="21"/>
                <w:lang w:val="en-US" w:eastAsia="zh-CN" w:bidi="ar-SA"/>
              </w:rPr>
              <w:t>交通与便民配套：在停车场增设快充桩，满足自驾游客的续航需求；依托高铁直通区的区位优势，增设公交车线路，联动周边日月湾、神州半岛附近酒店形成“住宿—购物”便捷圈。</w:t>
            </w:r>
          </w:p>
        </w:tc>
        <w:tc>
          <w:tcPr>
            <w:tcW w:w="242" w:type="pct"/>
            <w:tcBorders>
              <w:top w:val="nil"/>
              <w:left w:val="nil"/>
              <w:bottom w:val="single" w:color="auto" w:sz="4" w:space="0"/>
              <w:right w:val="single" w:color="auto" w:sz="4" w:space="0"/>
            </w:tcBorders>
            <w:shd w:val="clear" w:color="auto" w:fill="auto"/>
            <w:vAlign w:val="center"/>
          </w:tcPr>
          <w:p w14:paraId="2BF0CA1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5512C65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10000</w:t>
            </w:r>
          </w:p>
        </w:tc>
        <w:tc>
          <w:tcPr>
            <w:tcW w:w="385" w:type="pct"/>
            <w:tcBorders>
              <w:top w:val="nil"/>
              <w:left w:val="nil"/>
              <w:bottom w:val="single" w:color="auto" w:sz="4" w:space="0"/>
              <w:right w:val="single" w:color="auto" w:sz="4" w:space="0"/>
            </w:tcBorders>
            <w:shd w:val="clear" w:color="auto" w:fill="auto"/>
            <w:vAlign w:val="center"/>
          </w:tcPr>
          <w:p w14:paraId="681CC47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2026—20</w:t>
            </w:r>
            <w:r>
              <w:rPr>
                <w:rFonts w:hint="eastAsia"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5F17B03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rPr>
              <w:t>购物</w:t>
            </w:r>
            <w:r>
              <w:rPr>
                <w:rFonts w:hint="eastAsia" w:ascii="仿宋_GB2312" w:hAnsi="仿宋_GB2312" w:eastAsia="仿宋_GB2312" w:cs="仿宋_GB2312"/>
                <w:bCs/>
                <w:color w:val="auto"/>
                <w:kern w:val="0"/>
                <w:sz w:val="24"/>
                <w:szCs w:val="21"/>
              </w:rPr>
              <w:t>旅游</w:t>
            </w:r>
          </w:p>
        </w:tc>
      </w:tr>
      <w:tr w14:paraId="2C5F3938">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7901267">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bidi="ar-SA"/>
              </w:rPr>
            </w:pPr>
            <w:r>
              <w:rPr>
                <w:rFonts w:hint="eastAsia" w:ascii="仿宋_GB2312" w:hAnsi="仿宋_GB2312" w:eastAsia="仿宋_GB2312" w:cs="仿宋_GB2312"/>
                <w:b/>
                <w:color w:val="auto"/>
                <w:kern w:val="0"/>
                <w:sz w:val="24"/>
                <w:szCs w:val="21"/>
                <w:lang w:val="en-US" w:eastAsia="zh-CN"/>
              </w:rPr>
              <w:t>12</w:t>
            </w:r>
          </w:p>
        </w:tc>
        <w:tc>
          <w:tcPr>
            <w:tcW w:w="610" w:type="pct"/>
            <w:tcBorders>
              <w:top w:val="nil"/>
              <w:left w:val="nil"/>
              <w:bottom w:val="single" w:color="auto" w:sz="4" w:space="0"/>
              <w:right w:val="single" w:color="auto" w:sz="4" w:space="0"/>
            </w:tcBorders>
            <w:shd w:val="clear" w:color="auto" w:fill="auto"/>
            <w:vAlign w:val="center"/>
          </w:tcPr>
          <w:p w14:paraId="0D7A6785">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bidi="ar-SA"/>
              </w:rPr>
              <w:t>后安镇乡村振兴项目（一期）</w:t>
            </w:r>
          </w:p>
        </w:tc>
        <w:tc>
          <w:tcPr>
            <w:tcW w:w="339" w:type="pct"/>
            <w:tcBorders>
              <w:top w:val="nil"/>
              <w:left w:val="nil"/>
              <w:bottom w:val="single" w:color="auto" w:sz="4" w:space="0"/>
              <w:right w:val="single" w:color="auto" w:sz="4" w:space="0"/>
            </w:tcBorders>
            <w:shd w:val="clear" w:color="auto" w:fill="auto"/>
            <w:vAlign w:val="center"/>
          </w:tcPr>
          <w:p w14:paraId="7679523E">
            <w:pPr>
              <w:widowControl/>
              <w:spacing w:line="240" w:lineRule="auto"/>
              <w:ind w:firstLine="0" w:firstLineChars="0"/>
              <w:jc w:val="center"/>
              <w:rPr>
                <w:rFonts w:hint="default"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bidi="ar-SA"/>
              </w:rPr>
              <w:t>后安镇</w:t>
            </w:r>
          </w:p>
        </w:tc>
        <w:tc>
          <w:tcPr>
            <w:tcW w:w="2551" w:type="pct"/>
            <w:tcBorders>
              <w:top w:val="nil"/>
              <w:left w:val="nil"/>
              <w:bottom w:val="single" w:color="auto" w:sz="4" w:space="0"/>
              <w:right w:val="single" w:color="auto" w:sz="4" w:space="0"/>
            </w:tcBorders>
            <w:shd w:val="clear" w:color="auto" w:fill="auto"/>
            <w:vAlign w:val="center"/>
          </w:tcPr>
          <w:p w14:paraId="5E74430A">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共分为7个子项目，分别为后安墟美食街城市更新项目；红联村槟榔城周边产业观光园及配套基础设施项目；曲冲村美丽渔村建设项目；茶山村研学基地配套母六村美丽乡村建设项目；后安墟老旧街区改造工程；乐来墟老旧街区改造工程；白石村滨水文旅融合功能提升项目。</w:t>
            </w:r>
          </w:p>
        </w:tc>
        <w:tc>
          <w:tcPr>
            <w:tcW w:w="242" w:type="pct"/>
            <w:tcBorders>
              <w:top w:val="nil"/>
              <w:left w:val="nil"/>
              <w:bottom w:val="single" w:color="auto" w:sz="4" w:space="0"/>
              <w:right w:val="single" w:color="auto" w:sz="4" w:space="0"/>
            </w:tcBorders>
            <w:shd w:val="clear" w:color="auto" w:fill="auto"/>
            <w:vAlign w:val="center"/>
          </w:tcPr>
          <w:p w14:paraId="1862220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cs="仿宋_GB2312"/>
                <w:bCs/>
                <w:color w:val="auto"/>
                <w:kern w:val="0"/>
                <w:sz w:val="24"/>
                <w:szCs w:val="21"/>
                <w:lang w:val="en-US" w:eastAsia="zh-CN"/>
              </w:rPr>
              <w:t>续</w:t>
            </w:r>
            <w:r>
              <w:rPr>
                <w:rFonts w:hint="eastAsia" w:ascii="仿宋_GB2312" w:hAnsi="仿宋_GB2312" w:eastAsia="仿宋_GB2312" w:cs="仿宋_GB2312"/>
                <w:bCs/>
                <w:color w:val="auto"/>
                <w:kern w:val="0"/>
                <w:sz w:val="24"/>
                <w:szCs w:val="21"/>
                <w:lang w:val="en-US" w:eastAsia="zh-CN"/>
              </w:rPr>
              <w:t>建</w:t>
            </w:r>
          </w:p>
        </w:tc>
        <w:tc>
          <w:tcPr>
            <w:tcW w:w="372" w:type="pct"/>
            <w:tcBorders>
              <w:top w:val="nil"/>
              <w:left w:val="nil"/>
              <w:bottom w:val="single" w:color="auto" w:sz="4" w:space="0"/>
              <w:right w:val="single" w:color="auto" w:sz="4" w:space="0"/>
            </w:tcBorders>
            <w:shd w:val="clear" w:color="auto" w:fill="auto"/>
            <w:vAlign w:val="center"/>
          </w:tcPr>
          <w:p w14:paraId="71CDA8C0">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21306</w:t>
            </w:r>
          </w:p>
        </w:tc>
        <w:tc>
          <w:tcPr>
            <w:tcW w:w="385" w:type="pct"/>
            <w:tcBorders>
              <w:top w:val="nil"/>
              <w:left w:val="nil"/>
              <w:bottom w:val="single" w:color="auto" w:sz="4" w:space="0"/>
              <w:right w:val="single" w:color="auto" w:sz="4" w:space="0"/>
            </w:tcBorders>
            <w:shd w:val="clear" w:color="auto" w:fill="auto"/>
            <w:vAlign w:val="center"/>
          </w:tcPr>
          <w:p w14:paraId="4624FEC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cs="仿宋_GB2312"/>
                <w:bCs/>
                <w:color w:val="auto"/>
                <w:kern w:val="0"/>
                <w:sz w:val="24"/>
                <w:szCs w:val="21"/>
                <w:lang w:val="en-US" w:eastAsia="zh-CN"/>
              </w:rPr>
              <w:t>5</w:t>
            </w:r>
            <w:r>
              <w:rPr>
                <w:rFonts w:hint="eastAsia" w:ascii="仿宋_GB2312" w:hAnsi="仿宋_GB2312" w:eastAsia="仿宋_GB2312" w:cs="仿宋_GB2312"/>
                <w:bCs/>
                <w:color w:val="auto"/>
                <w:kern w:val="0"/>
                <w:sz w:val="24"/>
                <w:szCs w:val="21"/>
              </w:rPr>
              <w:t>—202</w:t>
            </w:r>
            <w:r>
              <w:rPr>
                <w:rFonts w:hint="eastAsia"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45E8EE9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cs="仿宋_GB2312"/>
                <w:bCs/>
                <w:color w:val="auto"/>
                <w:kern w:val="0"/>
                <w:sz w:val="24"/>
                <w:szCs w:val="21"/>
                <w:lang w:val="en-US" w:eastAsia="zh-CN"/>
              </w:rPr>
              <w:t>乡村</w:t>
            </w:r>
            <w:r>
              <w:rPr>
                <w:rFonts w:hint="eastAsia" w:ascii="仿宋_GB2312" w:hAnsi="仿宋_GB2312" w:eastAsia="仿宋_GB2312" w:cs="仿宋_GB2312"/>
                <w:bCs/>
                <w:color w:val="auto"/>
                <w:kern w:val="0"/>
                <w:sz w:val="24"/>
                <w:szCs w:val="21"/>
              </w:rPr>
              <w:t>旅游</w:t>
            </w:r>
          </w:p>
        </w:tc>
      </w:tr>
      <w:tr w14:paraId="6C95F953">
        <w:tblPrEx>
          <w:tblCellMar>
            <w:top w:w="0" w:type="dxa"/>
            <w:left w:w="108" w:type="dxa"/>
            <w:bottom w:w="0" w:type="dxa"/>
            <w:right w:w="108" w:type="dxa"/>
          </w:tblCellMar>
        </w:tblPrEx>
        <w:trPr>
          <w:trHeight w:val="90" w:hRule="atLeast"/>
        </w:trPr>
        <w:tc>
          <w:tcPr>
            <w:tcW w:w="237" w:type="pct"/>
            <w:tcBorders>
              <w:top w:val="single" w:color="auto" w:sz="4" w:space="0"/>
              <w:left w:val="single" w:color="auto" w:sz="4" w:space="0"/>
              <w:bottom w:val="single" w:color="auto" w:sz="4" w:space="0"/>
              <w:right w:val="single" w:color="auto" w:sz="4" w:space="0"/>
            </w:tcBorders>
            <w:shd w:val="clear" w:color="000000" w:fill="FFFFFF"/>
            <w:vAlign w:val="center"/>
          </w:tcPr>
          <w:p w14:paraId="3FB87280">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lang w:val="en-US" w:eastAsia="zh-CN"/>
              </w:rPr>
              <w:t>13</w:t>
            </w:r>
          </w:p>
        </w:tc>
        <w:tc>
          <w:tcPr>
            <w:tcW w:w="610" w:type="pct"/>
            <w:tcBorders>
              <w:top w:val="single" w:color="auto" w:sz="4" w:space="0"/>
              <w:left w:val="single" w:color="auto" w:sz="4" w:space="0"/>
              <w:bottom w:val="single" w:color="auto" w:sz="4" w:space="0"/>
              <w:right w:val="single" w:color="auto" w:sz="4" w:space="0"/>
            </w:tcBorders>
            <w:shd w:val="clear" w:color="auto" w:fill="auto"/>
            <w:vAlign w:val="center"/>
          </w:tcPr>
          <w:p w14:paraId="4A29AB5C">
            <w:pPr>
              <w:widowControl/>
              <w:spacing w:line="240" w:lineRule="auto"/>
              <w:ind w:firstLine="0" w:firstLineChars="0"/>
              <w:jc w:val="center"/>
              <w:rPr>
                <w:rFonts w:hint="eastAsia" w:ascii="仿宋_GB2312" w:hAnsi="仿宋_GB2312" w:eastAsia="仿宋_GB2312" w:cs="仿宋_GB2312"/>
                <w:b/>
                <w:bCs w:val="0"/>
                <w:color w:val="auto"/>
                <w:kern w:val="0"/>
                <w:sz w:val="24"/>
                <w:szCs w:val="21"/>
                <w:highlight w:val="none"/>
              </w:rPr>
            </w:pPr>
            <w:r>
              <w:rPr>
                <w:rFonts w:hint="eastAsia" w:ascii="仿宋_GB2312" w:hAnsi="仿宋_GB2312" w:eastAsia="仿宋_GB2312" w:cs="仿宋_GB2312"/>
                <w:b/>
                <w:bCs w:val="0"/>
                <w:color w:val="auto"/>
                <w:kern w:val="0"/>
                <w:sz w:val="24"/>
                <w:szCs w:val="21"/>
                <w:highlight w:val="none"/>
              </w:rPr>
              <w:t>万宁市和乐镇港北片旅游公路经济圈建设项目</w:t>
            </w:r>
          </w:p>
        </w:tc>
        <w:tc>
          <w:tcPr>
            <w:tcW w:w="339" w:type="pct"/>
            <w:tcBorders>
              <w:top w:val="single" w:color="auto" w:sz="4" w:space="0"/>
              <w:left w:val="single" w:color="auto" w:sz="4" w:space="0"/>
              <w:bottom w:val="single" w:color="auto" w:sz="4" w:space="0"/>
              <w:right w:val="single" w:color="auto" w:sz="4" w:space="0"/>
            </w:tcBorders>
            <w:shd w:val="clear" w:color="auto" w:fill="auto"/>
            <w:vAlign w:val="center"/>
          </w:tcPr>
          <w:p w14:paraId="5220756E">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val="0"/>
                <w:bCs/>
                <w:color w:val="auto"/>
                <w:kern w:val="0"/>
                <w:sz w:val="24"/>
                <w:szCs w:val="21"/>
                <w:highlight w:val="none"/>
              </w:rPr>
              <w:t>和乐镇</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14:paraId="3FA27A46">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对万宁市和乐镇港北片基础设施提升改造，打造旅游公路经济圈，包括：防海堤升级改造工程、环岛旅游公路接驳路工程、市政道路建设工程、人居环境整治工程和公共基础设施建设工程。</w:t>
            </w:r>
          </w:p>
        </w:tc>
        <w:tc>
          <w:tcPr>
            <w:tcW w:w="242" w:type="pct"/>
            <w:tcBorders>
              <w:top w:val="single" w:color="auto" w:sz="4" w:space="0"/>
              <w:left w:val="single" w:color="auto" w:sz="4" w:space="0"/>
              <w:bottom w:val="single" w:color="auto" w:sz="4" w:space="0"/>
              <w:right w:val="single" w:color="auto" w:sz="4" w:space="0"/>
            </w:tcBorders>
            <w:shd w:val="clear" w:color="auto" w:fill="auto"/>
            <w:vAlign w:val="center"/>
          </w:tcPr>
          <w:p w14:paraId="6882A036">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cs="仿宋_GB2312"/>
                <w:bCs/>
                <w:color w:val="auto"/>
                <w:kern w:val="0"/>
                <w:sz w:val="24"/>
                <w:szCs w:val="21"/>
                <w:lang w:val="en-US" w:eastAsia="zh-CN"/>
              </w:rPr>
              <w:t>新</w:t>
            </w:r>
            <w:r>
              <w:rPr>
                <w:rFonts w:hint="eastAsia" w:ascii="仿宋_GB2312" w:hAnsi="仿宋_GB2312" w:eastAsia="仿宋_GB2312" w:cs="仿宋_GB2312"/>
                <w:bCs/>
                <w:color w:val="auto"/>
                <w:kern w:val="0"/>
                <w:sz w:val="24"/>
                <w:szCs w:val="21"/>
                <w:lang w:val="en-US" w:eastAsia="zh-CN"/>
              </w:rPr>
              <w:t>建</w:t>
            </w:r>
          </w:p>
        </w:tc>
        <w:tc>
          <w:tcPr>
            <w:tcW w:w="372" w:type="pct"/>
            <w:tcBorders>
              <w:top w:val="single" w:color="auto" w:sz="4" w:space="0"/>
              <w:left w:val="single" w:color="auto" w:sz="4" w:space="0"/>
              <w:bottom w:val="single" w:color="auto" w:sz="4" w:space="0"/>
              <w:right w:val="single" w:color="auto" w:sz="4" w:space="0"/>
            </w:tcBorders>
            <w:shd w:val="clear" w:color="auto" w:fill="auto"/>
            <w:vAlign w:val="center"/>
          </w:tcPr>
          <w:p w14:paraId="36E1A0A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27300</w:t>
            </w:r>
          </w:p>
        </w:tc>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4B4DD101">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w:t>
            </w:r>
            <w:r>
              <w:rPr>
                <w:rFonts w:hint="eastAsia" w:cs="仿宋_GB2312"/>
                <w:bCs/>
                <w:color w:val="auto"/>
                <w:kern w:val="0"/>
                <w:sz w:val="24"/>
                <w:szCs w:val="21"/>
                <w:lang w:val="en-US" w:eastAsia="zh-CN"/>
              </w:rPr>
              <w:t>8</w:t>
            </w:r>
            <w:r>
              <w:rPr>
                <w:rFonts w:hint="eastAsia" w:ascii="仿宋_GB2312" w:hAnsi="仿宋_GB2312" w:eastAsia="仿宋_GB2312" w:cs="仿宋_GB2312"/>
                <w:bCs/>
                <w:color w:val="auto"/>
                <w:kern w:val="0"/>
                <w:sz w:val="24"/>
                <w:szCs w:val="21"/>
              </w:rPr>
              <w:t>年</w:t>
            </w:r>
          </w:p>
        </w:tc>
        <w:tc>
          <w:tcPr>
            <w:tcW w:w="258" w:type="pct"/>
            <w:tcBorders>
              <w:top w:val="single" w:color="auto" w:sz="4" w:space="0"/>
              <w:left w:val="single" w:color="auto" w:sz="4" w:space="0"/>
              <w:bottom w:val="single" w:color="auto" w:sz="4" w:space="0"/>
              <w:right w:val="single" w:color="auto" w:sz="4" w:space="0"/>
            </w:tcBorders>
            <w:shd w:val="clear" w:color="auto" w:fill="auto"/>
            <w:vAlign w:val="center"/>
          </w:tcPr>
          <w:p w14:paraId="4290CFF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旅游</w:t>
            </w:r>
            <w:r>
              <w:rPr>
                <w:rFonts w:hint="eastAsia" w:cs="仿宋_GB2312"/>
                <w:bCs/>
                <w:color w:val="auto"/>
                <w:kern w:val="0"/>
                <w:sz w:val="24"/>
                <w:szCs w:val="21"/>
                <w:lang w:val="en-US" w:eastAsia="zh-CN"/>
              </w:rPr>
              <w:t>交通</w:t>
            </w:r>
          </w:p>
        </w:tc>
      </w:tr>
      <w:tr w14:paraId="01505FA7">
        <w:tblPrEx>
          <w:tblCellMar>
            <w:top w:w="0" w:type="dxa"/>
            <w:left w:w="108" w:type="dxa"/>
            <w:bottom w:w="0" w:type="dxa"/>
            <w:right w:w="108" w:type="dxa"/>
          </w:tblCellMar>
        </w:tblPrEx>
        <w:trPr>
          <w:trHeight w:val="597" w:hRule="atLeast"/>
        </w:trPr>
        <w:tc>
          <w:tcPr>
            <w:tcW w:w="3740" w:type="pct"/>
            <w:gridSpan w:val="4"/>
            <w:tcBorders>
              <w:top w:val="nil"/>
              <w:left w:val="single" w:color="auto" w:sz="4" w:space="0"/>
              <w:bottom w:val="single" w:color="auto" w:sz="4" w:space="0"/>
              <w:right w:val="single" w:color="auto" w:sz="4" w:space="0"/>
            </w:tcBorders>
            <w:shd w:val="clear" w:color="000000" w:fill="FFFFFF"/>
            <w:vAlign w:val="center"/>
          </w:tcPr>
          <w:p w14:paraId="4513FF25">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color w:val="auto"/>
                <w:kern w:val="0"/>
                <w:sz w:val="24"/>
                <w:szCs w:val="21"/>
              </w:rPr>
              <w:t>总投资额</w:t>
            </w:r>
          </w:p>
        </w:tc>
        <w:tc>
          <w:tcPr>
            <w:tcW w:w="1259" w:type="pct"/>
            <w:gridSpan w:val="4"/>
            <w:tcBorders>
              <w:top w:val="nil"/>
              <w:left w:val="nil"/>
              <w:bottom w:val="single" w:color="auto" w:sz="4" w:space="0"/>
              <w:right w:val="single" w:color="auto" w:sz="4" w:space="0"/>
            </w:tcBorders>
            <w:shd w:val="clear" w:color="auto" w:fill="auto"/>
            <w:vAlign w:val="center"/>
          </w:tcPr>
          <w:p w14:paraId="71A56189">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color w:val="auto"/>
                <w:kern w:val="0"/>
                <w:sz w:val="24"/>
                <w:szCs w:val="21"/>
              </w:rPr>
              <w:t>1142606</w:t>
            </w:r>
            <w:r>
              <w:rPr>
                <w:rFonts w:hint="eastAsia" w:ascii="仿宋_GB2312" w:hAnsi="仿宋_GB2312" w:eastAsia="仿宋_GB2312" w:cs="仿宋_GB2312"/>
                <w:b/>
                <w:bCs w:val="0"/>
                <w:color w:val="auto"/>
                <w:kern w:val="0"/>
                <w:sz w:val="24"/>
                <w:szCs w:val="21"/>
              </w:rPr>
              <w:t>万元</w:t>
            </w:r>
          </w:p>
        </w:tc>
      </w:tr>
    </w:tbl>
    <w:p w14:paraId="702C2BBE">
      <w:pPr>
        <w:ind w:left="0" w:leftChars="0" w:firstLine="0" w:firstLineChars="0"/>
        <w:rPr>
          <w:rFonts w:hint="eastAsia"/>
        </w:rPr>
      </w:pPr>
      <w:r>
        <w:rPr>
          <w:rFonts w:hint="eastAsia"/>
        </w:rPr>
        <w:br w:type="page"/>
      </w:r>
    </w:p>
    <w:p w14:paraId="2BA02559">
      <w:pPr>
        <w:pStyle w:val="2"/>
        <w:shd w:val="clear"/>
        <w:spacing w:after="62"/>
        <w:ind w:firstLine="0" w:firstLineChars="0"/>
        <w:jc w:val="left"/>
        <w:rPr>
          <w:rFonts w:hint="eastAsia"/>
          <w:b w:val="0"/>
          <w:bCs/>
          <w:color w:val="auto"/>
          <w:sz w:val="36"/>
          <w:szCs w:val="48"/>
          <w:highlight w:val="none"/>
          <w:lang w:val="en-US" w:eastAsia="zh-CN"/>
        </w:rPr>
      </w:pPr>
      <w:bookmarkStart w:id="223" w:name="_Toc14773"/>
      <w:bookmarkStart w:id="224" w:name="_Toc9210"/>
      <w:bookmarkStart w:id="225" w:name="_Toc25012"/>
      <w:r>
        <w:rPr>
          <w:rFonts w:hint="eastAsia"/>
          <w:b w:val="0"/>
          <w:bCs/>
          <w:color w:val="auto"/>
          <w:sz w:val="36"/>
          <w:szCs w:val="48"/>
          <w:highlight w:val="none"/>
          <w:lang w:val="en-US" w:eastAsia="zh-CN"/>
        </w:rPr>
        <w:t>附表3</w:t>
      </w:r>
      <w:bookmarkEnd w:id="223"/>
      <w:bookmarkEnd w:id="224"/>
      <w:bookmarkEnd w:id="225"/>
    </w:p>
    <w:p w14:paraId="23A6BD3E">
      <w:pPr>
        <w:pStyle w:val="3"/>
        <w:shd w:val="clear"/>
        <w:spacing w:before="62" w:after="93"/>
        <w:ind w:left="0" w:leftChars="0" w:firstLine="0" w:firstLineChars="0"/>
        <w:jc w:val="center"/>
        <w:outlineLvl w:val="0"/>
        <w:rPr>
          <w:rFonts w:hint="eastAsia"/>
          <w:b w:val="0"/>
          <w:bCs/>
          <w:color w:val="auto"/>
          <w:highlight w:val="none"/>
          <w:lang w:val="en-US" w:eastAsia="zh-CN"/>
        </w:rPr>
      </w:pPr>
      <w:bookmarkStart w:id="226" w:name="_Toc19034"/>
      <w:bookmarkStart w:id="227" w:name="_Toc12556"/>
      <w:bookmarkStart w:id="228" w:name="_Toc27115"/>
      <w:r>
        <w:rPr>
          <w:rFonts w:hint="eastAsia"/>
          <w:b w:val="0"/>
          <w:bCs/>
          <w:color w:val="auto"/>
          <w:highlight w:val="none"/>
          <w:lang w:val="en-US" w:eastAsia="zh-CN"/>
        </w:rPr>
        <w:t>“十五五”旅游文化体育发展储备项目库</w:t>
      </w:r>
      <w:bookmarkEnd w:id="15"/>
      <w:bookmarkEnd w:id="226"/>
      <w:r>
        <w:rPr>
          <w:rFonts w:hint="eastAsia"/>
          <w:b w:val="0"/>
          <w:bCs/>
          <w:color w:val="auto"/>
          <w:highlight w:val="none"/>
          <w:lang w:val="en-US" w:eastAsia="zh-CN"/>
        </w:rPr>
        <w:t>（8个）</w:t>
      </w:r>
      <w:bookmarkEnd w:id="227"/>
      <w:bookmarkEnd w:id="228"/>
    </w:p>
    <w:tbl>
      <w:tblPr>
        <w:tblStyle w:val="13"/>
        <w:tblW w:w="5085" w:type="pct"/>
        <w:tblInd w:w="0" w:type="dxa"/>
        <w:tblLayout w:type="fixed"/>
        <w:tblCellMar>
          <w:top w:w="0" w:type="dxa"/>
          <w:left w:w="108" w:type="dxa"/>
          <w:bottom w:w="0" w:type="dxa"/>
          <w:right w:w="108" w:type="dxa"/>
        </w:tblCellMar>
      </w:tblPr>
      <w:tblGrid>
        <w:gridCol w:w="686"/>
        <w:gridCol w:w="1761"/>
        <w:gridCol w:w="980"/>
        <w:gridCol w:w="7357"/>
        <w:gridCol w:w="700"/>
        <w:gridCol w:w="1075"/>
        <w:gridCol w:w="1112"/>
        <w:gridCol w:w="744"/>
      </w:tblGrid>
      <w:tr w14:paraId="1C97C58A">
        <w:tblPrEx>
          <w:tblCellMar>
            <w:top w:w="0" w:type="dxa"/>
            <w:left w:w="108" w:type="dxa"/>
            <w:bottom w:w="0" w:type="dxa"/>
            <w:right w:w="108" w:type="dxa"/>
          </w:tblCellMar>
        </w:tblPrEx>
        <w:trPr>
          <w:trHeight w:val="90" w:hRule="atLeast"/>
          <w:tblHeader/>
        </w:trPr>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FD684">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序号</w:t>
            </w:r>
          </w:p>
        </w:tc>
        <w:tc>
          <w:tcPr>
            <w:tcW w:w="610" w:type="pct"/>
            <w:tcBorders>
              <w:top w:val="single" w:color="auto" w:sz="4" w:space="0"/>
              <w:left w:val="nil"/>
              <w:bottom w:val="single" w:color="auto" w:sz="4" w:space="0"/>
              <w:right w:val="single" w:color="auto" w:sz="4" w:space="0"/>
            </w:tcBorders>
            <w:shd w:val="clear" w:color="auto" w:fill="auto"/>
            <w:noWrap/>
            <w:vAlign w:val="center"/>
          </w:tcPr>
          <w:p w14:paraId="335D4F4B">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项目名称</w:t>
            </w:r>
          </w:p>
        </w:tc>
        <w:tc>
          <w:tcPr>
            <w:tcW w:w="339" w:type="pct"/>
            <w:tcBorders>
              <w:top w:val="single" w:color="auto" w:sz="4" w:space="0"/>
              <w:left w:val="nil"/>
              <w:bottom w:val="single" w:color="auto" w:sz="4" w:space="0"/>
              <w:right w:val="single" w:color="auto" w:sz="4" w:space="0"/>
            </w:tcBorders>
            <w:shd w:val="clear" w:color="auto" w:fill="auto"/>
            <w:noWrap/>
            <w:vAlign w:val="center"/>
          </w:tcPr>
          <w:p w14:paraId="02E179D6">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w:t>
            </w:r>
          </w:p>
          <w:p w14:paraId="2F0A16A7">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地点</w:t>
            </w:r>
          </w:p>
        </w:tc>
        <w:tc>
          <w:tcPr>
            <w:tcW w:w="2551" w:type="pct"/>
            <w:tcBorders>
              <w:top w:val="single" w:color="auto" w:sz="4" w:space="0"/>
              <w:left w:val="nil"/>
              <w:bottom w:val="single" w:color="auto" w:sz="4" w:space="0"/>
              <w:right w:val="single" w:color="auto" w:sz="4" w:space="0"/>
            </w:tcBorders>
            <w:shd w:val="clear" w:color="auto" w:fill="auto"/>
            <w:noWrap/>
            <w:vAlign w:val="center"/>
          </w:tcPr>
          <w:p w14:paraId="42B242A8">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建设内容</w:t>
            </w:r>
          </w:p>
        </w:tc>
        <w:tc>
          <w:tcPr>
            <w:tcW w:w="242" w:type="pct"/>
            <w:tcBorders>
              <w:top w:val="single" w:color="auto" w:sz="4" w:space="0"/>
              <w:left w:val="nil"/>
              <w:bottom w:val="single" w:color="auto" w:sz="4" w:space="0"/>
              <w:right w:val="single" w:color="auto" w:sz="4" w:space="0"/>
            </w:tcBorders>
            <w:shd w:val="clear" w:color="auto" w:fill="auto"/>
            <w:vAlign w:val="center"/>
          </w:tcPr>
          <w:p w14:paraId="5961E969">
            <w:pPr>
              <w:widowControl/>
              <w:spacing w:line="240" w:lineRule="auto"/>
              <w:ind w:firstLine="0" w:firstLineChars="0"/>
              <w:jc w:val="center"/>
              <w:rPr>
                <w:rFonts w:hint="eastAsia" w:ascii="仿宋_GB2312" w:hAnsi="仿宋_GB2312" w:eastAsia="仿宋_GB2312" w:cs="仿宋_GB2312"/>
                <w:b/>
                <w:color w:val="auto"/>
                <w:kern w:val="0"/>
                <w:sz w:val="24"/>
                <w:szCs w:val="21"/>
                <w:lang w:val="en-US" w:eastAsia="zh-CN"/>
              </w:rPr>
            </w:pPr>
            <w:r>
              <w:rPr>
                <w:rFonts w:hint="eastAsia" w:ascii="仿宋_GB2312" w:hAnsi="仿宋_GB2312" w:eastAsia="仿宋_GB2312" w:cs="仿宋_GB2312"/>
                <w:b/>
                <w:color w:val="auto"/>
                <w:kern w:val="0"/>
                <w:sz w:val="24"/>
                <w:szCs w:val="21"/>
                <w:lang w:val="en-US" w:eastAsia="zh-CN"/>
              </w:rPr>
              <w:t>建设</w:t>
            </w:r>
          </w:p>
          <w:p w14:paraId="3B9D68B1">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lang w:val="en-US" w:eastAsia="zh-CN"/>
              </w:rPr>
              <w:t>阶段</w:t>
            </w:r>
          </w:p>
        </w:tc>
        <w:tc>
          <w:tcPr>
            <w:tcW w:w="372" w:type="pct"/>
            <w:tcBorders>
              <w:top w:val="single" w:color="auto" w:sz="4" w:space="0"/>
              <w:left w:val="nil"/>
              <w:bottom w:val="single" w:color="auto" w:sz="4" w:space="0"/>
              <w:right w:val="single" w:color="auto" w:sz="4" w:space="0"/>
            </w:tcBorders>
            <w:shd w:val="clear" w:color="auto" w:fill="auto"/>
            <w:vAlign w:val="center"/>
          </w:tcPr>
          <w:p w14:paraId="717E45FD">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投资额</w:t>
            </w:r>
            <w:r>
              <w:rPr>
                <w:rFonts w:hint="eastAsia" w:ascii="仿宋_GB2312" w:hAnsi="仿宋_GB2312" w:eastAsia="仿宋_GB2312" w:cs="仿宋_GB2312"/>
                <w:b/>
                <w:color w:val="auto"/>
                <w:kern w:val="0"/>
                <w:sz w:val="24"/>
                <w:szCs w:val="21"/>
              </w:rPr>
              <w:br w:type="textWrapping"/>
            </w:r>
            <w:r>
              <w:rPr>
                <w:rFonts w:hint="eastAsia" w:ascii="仿宋_GB2312" w:hAnsi="仿宋_GB2312" w:eastAsia="仿宋_GB2312" w:cs="仿宋_GB2312"/>
                <w:b/>
                <w:color w:val="auto"/>
                <w:kern w:val="0"/>
                <w:sz w:val="24"/>
                <w:szCs w:val="21"/>
              </w:rPr>
              <w:t>（万元）</w:t>
            </w:r>
          </w:p>
        </w:tc>
        <w:tc>
          <w:tcPr>
            <w:tcW w:w="385" w:type="pct"/>
            <w:tcBorders>
              <w:top w:val="single" w:color="auto" w:sz="4" w:space="0"/>
              <w:left w:val="nil"/>
              <w:bottom w:val="single" w:color="auto" w:sz="4" w:space="0"/>
              <w:right w:val="single" w:color="auto" w:sz="4" w:space="0"/>
            </w:tcBorders>
            <w:shd w:val="clear" w:color="auto" w:fill="auto"/>
            <w:noWrap/>
            <w:vAlign w:val="center"/>
          </w:tcPr>
          <w:p w14:paraId="378CD97B">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w:t>
            </w:r>
          </w:p>
          <w:p w14:paraId="53964268">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期限</w:t>
            </w:r>
          </w:p>
        </w:tc>
        <w:tc>
          <w:tcPr>
            <w:tcW w:w="258" w:type="pct"/>
            <w:tcBorders>
              <w:top w:val="single" w:color="auto" w:sz="4" w:space="0"/>
              <w:left w:val="nil"/>
              <w:bottom w:val="single" w:color="auto" w:sz="4" w:space="0"/>
              <w:right w:val="single" w:color="auto" w:sz="4" w:space="0"/>
            </w:tcBorders>
            <w:shd w:val="clear" w:color="auto" w:fill="auto"/>
            <w:noWrap/>
            <w:vAlign w:val="center"/>
          </w:tcPr>
          <w:p w14:paraId="59CBB73B">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w:t>
            </w:r>
          </w:p>
          <w:p w14:paraId="30CC98AE">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类别</w:t>
            </w:r>
          </w:p>
        </w:tc>
      </w:tr>
      <w:tr w14:paraId="7AB73F1A">
        <w:tblPrEx>
          <w:tblCellMar>
            <w:top w:w="0" w:type="dxa"/>
            <w:left w:w="108" w:type="dxa"/>
            <w:bottom w:w="0" w:type="dxa"/>
            <w:right w:w="108" w:type="dxa"/>
          </w:tblCellMar>
        </w:tblPrEx>
        <w:trPr>
          <w:trHeight w:val="4148"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787E8BBC">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1</w:t>
            </w:r>
          </w:p>
        </w:tc>
        <w:tc>
          <w:tcPr>
            <w:tcW w:w="610" w:type="pct"/>
            <w:tcBorders>
              <w:top w:val="nil"/>
              <w:left w:val="nil"/>
              <w:bottom w:val="single" w:color="auto" w:sz="4" w:space="0"/>
              <w:right w:val="single" w:color="auto" w:sz="4" w:space="0"/>
            </w:tcBorders>
            <w:shd w:val="clear" w:color="auto" w:fill="auto"/>
            <w:vAlign w:val="center"/>
          </w:tcPr>
          <w:p w14:paraId="393314DE">
            <w:pPr>
              <w:widowControl/>
              <w:spacing w:line="240" w:lineRule="auto"/>
              <w:ind w:firstLine="0" w:firstLineChars="0"/>
              <w:jc w:val="center"/>
              <w:rPr>
                <w:rFonts w:hint="eastAsia" w:ascii="仿宋_GB2312" w:hAnsi="仿宋_GB2312" w:eastAsia="仿宋_GB2312" w:cs="仿宋_GB2312"/>
                <w:b/>
                <w:bCs w:val="0"/>
                <w:color w:val="auto"/>
                <w:kern w:val="0"/>
                <w:sz w:val="24"/>
                <w:szCs w:val="21"/>
                <w:highlight w:val="none"/>
              </w:rPr>
            </w:pPr>
            <w:r>
              <w:rPr>
                <w:rFonts w:hint="eastAsia" w:ascii="仿宋_GB2312" w:hAnsi="仿宋_GB2312" w:eastAsia="仿宋_GB2312" w:cs="仿宋_GB2312"/>
                <w:b/>
                <w:bCs w:val="0"/>
                <w:color w:val="auto"/>
                <w:kern w:val="0"/>
                <w:sz w:val="24"/>
                <w:szCs w:val="21"/>
              </w:rPr>
              <w:t>万宁日月湾“雪与浪”国际海岸度假区</w:t>
            </w:r>
          </w:p>
        </w:tc>
        <w:tc>
          <w:tcPr>
            <w:tcW w:w="339" w:type="pct"/>
            <w:tcBorders>
              <w:top w:val="nil"/>
              <w:left w:val="nil"/>
              <w:bottom w:val="single" w:color="auto" w:sz="4" w:space="0"/>
              <w:right w:val="single" w:color="auto" w:sz="4" w:space="0"/>
            </w:tcBorders>
            <w:shd w:val="clear" w:color="auto" w:fill="auto"/>
            <w:vAlign w:val="center"/>
          </w:tcPr>
          <w:p w14:paraId="1FB1DCA2">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礼纪镇</w:t>
            </w:r>
          </w:p>
        </w:tc>
        <w:tc>
          <w:tcPr>
            <w:tcW w:w="2551" w:type="pct"/>
            <w:tcBorders>
              <w:top w:val="nil"/>
              <w:left w:val="nil"/>
              <w:bottom w:val="single" w:color="auto" w:sz="4" w:space="0"/>
              <w:right w:val="single" w:color="auto" w:sz="4" w:space="0"/>
            </w:tcBorders>
            <w:shd w:val="clear" w:color="auto" w:fill="auto"/>
            <w:vAlign w:val="center"/>
          </w:tcPr>
          <w:p w14:paraId="6E2825D2">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将万宁日月湾地区建设成集合全球规模最大室内滑雪场与冲浪小镇形成</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雪与浪</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全球特色的潮流运动产业集群。包括特色体育商业区</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全球最大规模雪区的室内滑雪场及具有全球特色的海上运动中心。</w:t>
            </w:r>
            <w:r>
              <w:rPr>
                <w:rFonts w:hint="eastAsia" w:cs="仿宋_GB2312"/>
                <w:bCs/>
                <w:color w:val="auto"/>
                <w:kern w:val="0"/>
                <w:sz w:val="24"/>
                <w:szCs w:val="21"/>
                <w:lang w:val="en-US" w:eastAsia="zh-CN"/>
              </w:rPr>
              <w:t>其中</w:t>
            </w:r>
            <w:r>
              <w:rPr>
                <w:rFonts w:hint="eastAsia" w:ascii="仿宋_GB2312" w:hAnsi="仿宋_GB2312" w:eastAsia="仿宋_GB2312" w:cs="仿宋_GB2312"/>
                <w:bCs/>
                <w:color w:val="auto"/>
                <w:kern w:val="0"/>
                <w:sz w:val="24"/>
                <w:szCs w:val="21"/>
              </w:rPr>
              <w:t>海南国际体育中心项目</w:t>
            </w:r>
            <w:r>
              <w:rPr>
                <w:rFonts w:hint="eastAsia" w:cs="仿宋_GB2312"/>
                <w:bCs/>
                <w:color w:val="auto"/>
                <w:kern w:val="0"/>
                <w:sz w:val="24"/>
                <w:szCs w:val="21"/>
                <w:lang w:val="en-US" w:eastAsia="zh-CN"/>
              </w:rPr>
              <w:t>涵盖</w:t>
            </w:r>
            <w:r>
              <w:rPr>
                <w:rFonts w:hint="eastAsia" w:ascii="仿宋_GB2312" w:hAnsi="仿宋_GB2312" w:eastAsia="仿宋_GB2312" w:cs="仿宋_GB2312"/>
                <w:bCs/>
                <w:color w:val="auto"/>
                <w:kern w:val="0"/>
                <w:sz w:val="24"/>
                <w:szCs w:val="21"/>
              </w:rPr>
              <w:t>室内滑雪场工程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雪与浪</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全球特色潮流运动小镇工程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特色体育商业区工程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海上运动中心工程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自贸港体育用品免税店广场</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酒店和住宿设施</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配套公共设施</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基础设施；温控工程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热带造雪工程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体育康复医院工程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智能体育场馆工程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虚拟现实和增强现实技术应用</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数据分析和人工智能应用</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可持续能源与环境工程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健康监测与智能穿戴设备</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基因检测与优化训练计划</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无人机应用工程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智能停车系统工程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水上运动设施</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虚拟训练室工程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体育科技研发中心</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多功能活动中心</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生态景观和绿化工程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体育家园</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体育博物馆建设工程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体育主题酒店</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体育公园</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运动员康复和训练中心。</w:t>
            </w:r>
          </w:p>
        </w:tc>
        <w:tc>
          <w:tcPr>
            <w:tcW w:w="242" w:type="pct"/>
            <w:tcBorders>
              <w:top w:val="nil"/>
              <w:left w:val="nil"/>
              <w:bottom w:val="single" w:color="auto" w:sz="4" w:space="0"/>
              <w:right w:val="single" w:color="auto" w:sz="4" w:space="0"/>
            </w:tcBorders>
            <w:shd w:val="clear" w:color="auto" w:fill="auto"/>
            <w:vAlign w:val="center"/>
          </w:tcPr>
          <w:p w14:paraId="0D82BFF3">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58D40E66">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1000000</w:t>
            </w:r>
          </w:p>
        </w:tc>
        <w:tc>
          <w:tcPr>
            <w:tcW w:w="385" w:type="pct"/>
            <w:tcBorders>
              <w:top w:val="nil"/>
              <w:left w:val="nil"/>
              <w:bottom w:val="single" w:color="auto" w:sz="4" w:space="0"/>
              <w:right w:val="single" w:color="auto" w:sz="4" w:space="0"/>
            </w:tcBorders>
            <w:shd w:val="clear" w:color="auto" w:fill="auto"/>
            <w:vAlign w:val="center"/>
          </w:tcPr>
          <w:p w14:paraId="14DC1DF6">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30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328E837D">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海洋旅游</w:t>
            </w:r>
          </w:p>
        </w:tc>
      </w:tr>
      <w:tr w14:paraId="02D7C6CD">
        <w:tblPrEx>
          <w:tblCellMar>
            <w:top w:w="0" w:type="dxa"/>
            <w:left w:w="108" w:type="dxa"/>
            <w:bottom w:w="0" w:type="dxa"/>
            <w:right w:w="108" w:type="dxa"/>
          </w:tblCellMar>
        </w:tblPrEx>
        <w:trPr>
          <w:trHeight w:val="1791"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4CE392A6">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2</w:t>
            </w:r>
          </w:p>
        </w:tc>
        <w:tc>
          <w:tcPr>
            <w:tcW w:w="610" w:type="pct"/>
            <w:tcBorders>
              <w:top w:val="nil"/>
              <w:left w:val="nil"/>
              <w:bottom w:val="single" w:color="auto" w:sz="4" w:space="0"/>
              <w:right w:val="single" w:color="auto" w:sz="4" w:space="0"/>
            </w:tcBorders>
            <w:shd w:val="clear" w:color="auto" w:fill="auto"/>
            <w:vAlign w:val="center"/>
          </w:tcPr>
          <w:p w14:paraId="195FBC75">
            <w:pPr>
              <w:widowControl/>
              <w:spacing w:line="240" w:lineRule="auto"/>
              <w:ind w:firstLine="0" w:firstLineChars="0"/>
              <w:jc w:val="center"/>
              <w:rPr>
                <w:rFonts w:hint="eastAsia" w:ascii="仿宋_GB2312" w:hAnsi="仿宋_GB2312" w:eastAsia="仿宋_GB2312" w:cs="仿宋_GB2312"/>
                <w:b/>
                <w:bCs w:val="0"/>
                <w:color w:val="auto"/>
                <w:kern w:val="0"/>
                <w:sz w:val="24"/>
                <w:szCs w:val="21"/>
              </w:rPr>
            </w:pPr>
            <w:r>
              <w:rPr>
                <w:rFonts w:hint="eastAsia" w:ascii="仿宋_GB2312" w:hAnsi="仿宋_GB2312" w:eastAsia="仿宋_GB2312" w:cs="仿宋_GB2312"/>
                <w:b/>
                <w:bCs w:val="0"/>
                <w:color w:val="auto"/>
                <w:kern w:val="0"/>
                <w:sz w:val="24"/>
                <w:szCs w:val="21"/>
              </w:rPr>
              <w:t>丽兹卡尔智慧康养项目</w:t>
            </w:r>
          </w:p>
        </w:tc>
        <w:tc>
          <w:tcPr>
            <w:tcW w:w="339" w:type="pct"/>
            <w:tcBorders>
              <w:top w:val="nil"/>
              <w:left w:val="nil"/>
              <w:bottom w:val="single" w:color="auto" w:sz="4" w:space="0"/>
              <w:right w:val="single" w:color="auto" w:sz="4" w:space="0"/>
            </w:tcBorders>
            <w:shd w:val="clear" w:color="auto" w:fill="auto"/>
            <w:vAlign w:val="center"/>
          </w:tcPr>
          <w:p w14:paraId="6AF9A2BE">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万宁市</w:t>
            </w:r>
          </w:p>
        </w:tc>
        <w:tc>
          <w:tcPr>
            <w:tcW w:w="2551" w:type="pct"/>
            <w:tcBorders>
              <w:top w:val="nil"/>
              <w:left w:val="nil"/>
              <w:bottom w:val="single" w:color="auto" w:sz="4" w:space="0"/>
              <w:right w:val="single" w:color="auto" w:sz="4" w:space="0"/>
            </w:tcBorders>
            <w:shd w:val="clear" w:color="auto" w:fill="auto"/>
            <w:vAlign w:val="center"/>
          </w:tcPr>
          <w:p w14:paraId="164B9E8B">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本项目深度融合“医养+文旅+消费”三位一体发展模式，聚焦高品质健康生活与休闲需求，规划建设集成健康监测、康复护理、定制化康养方案的智能化康养中心，同步配套融合在地文化元素、提供高端旅居服务的度假酒店，以及汇聚全球优质商品、满足便捷消费需求的跨境免税城，构建多功能协同的复合型生活服务集群。</w:t>
            </w:r>
          </w:p>
        </w:tc>
        <w:tc>
          <w:tcPr>
            <w:tcW w:w="242" w:type="pct"/>
            <w:tcBorders>
              <w:top w:val="nil"/>
              <w:left w:val="nil"/>
              <w:bottom w:val="single" w:color="auto" w:sz="4" w:space="0"/>
              <w:right w:val="single" w:color="auto" w:sz="4" w:space="0"/>
            </w:tcBorders>
            <w:shd w:val="clear" w:color="auto" w:fill="auto"/>
            <w:vAlign w:val="center"/>
          </w:tcPr>
          <w:p w14:paraId="60FF0B69">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01A78E58">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350000</w:t>
            </w:r>
          </w:p>
        </w:tc>
        <w:tc>
          <w:tcPr>
            <w:tcW w:w="385" w:type="pct"/>
            <w:tcBorders>
              <w:top w:val="nil"/>
              <w:left w:val="nil"/>
              <w:bottom w:val="single" w:color="auto" w:sz="4" w:space="0"/>
              <w:right w:val="single" w:color="auto" w:sz="4" w:space="0"/>
            </w:tcBorders>
            <w:shd w:val="clear" w:color="auto" w:fill="auto"/>
            <w:vAlign w:val="center"/>
          </w:tcPr>
          <w:p w14:paraId="2741A06E">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29</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6DE02CC1">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康养</w:t>
            </w:r>
            <w:r>
              <w:rPr>
                <w:rFonts w:hint="eastAsia" w:ascii="仿宋_GB2312" w:hAnsi="仿宋_GB2312" w:eastAsia="仿宋_GB2312" w:cs="仿宋_GB2312"/>
                <w:bCs/>
                <w:color w:val="auto"/>
                <w:kern w:val="0"/>
                <w:sz w:val="24"/>
                <w:szCs w:val="21"/>
              </w:rPr>
              <w:t>旅游</w:t>
            </w:r>
          </w:p>
        </w:tc>
      </w:tr>
      <w:tr w14:paraId="0641CCBF">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0D338C6A">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3</w:t>
            </w:r>
          </w:p>
        </w:tc>
        <w:tc>
          <w:tcPr>
            <w:tcW w:w="610" w:type="pct"/>
            <w:tcBorders>
              <w:top w:val="nil"/>
              <w:left w:val="nil"/>
              <w:bottom w:val="single" w:color="auto" w:sz="4" w:space="0"/>
              <w:right w:val="single" w:color="auto" w:sz="4" w:space="0"/>
            </w:tcBorders>
            <w:shd w:val="clear" w:color="auto" w:fill="auto"/>
            <w:vAlign w:val="center"/>
          </w:tcPr>
          <w:p w14:paraId="68451066">
            <w:pPr>
              <w:widowControl/>
              <w:spacing w:line="240" w:lineRule="auto"/>
              <w:ind w:firstLine="0" w:firstLineChars="0"/>
              <w:jc w:val="center"/>
              <w:rPr>
                <w:rFonts w:hint="eastAsia" w:ascii="仿宋_GB2312" w:hAnsi="仿宋_GB2312" w:eastAsia="仿宋_GB2312" w:cs="仿宋_GB2312"/>
                <w:b/>
                <w:bCs w:val="0"/>
                <w:color w:val="auto"/>
                <w:kern w:val="0"/>
                <w:sz w:val="24"/>
                <w:szCs w:val="21"/>
                <w:highlight w:val="yellow"/>
                <w:lang w:val="en-US" w:eastAsia="zh-CN" w:bidi="ar-SA"/>
              </w:rPr>
            </w:pPr>
            <w:r>
              <w:rPr>
                <w:rFonts w:hint="eastAsia" w:ascii="仿宋_GB2312" w:hAnsi="仿宋_GB2312" w:eastAsia="仿宋_GB2312" w:cs="仿宋_GB2312"/>
                <w:b/>
                <w:bCs w:val="0"/>
                <w:color w:val="auto"/>
                <w:kern w:val="0"/>
                <w:sz w:val="24"/>
                <w:szCs w:val="21"/>
                <w:lang w:val="en-US" w:eastAsia="zh-CN" w:bidi="ar-SA"/>
              </w:rPr>
              <w:t>黎苗文化体育馆项目</w:t>
            </w:r>
          </w:p>
        </w:tc>
        <w:tc>
          <w:tcPr>
            <w:tcW w:w="339" w:type="pct"/>
            <w:tcBorders>
              <w:top w:val="nil"/>
              <w:left w:val="nil"/>
              <w:bottom w:val="single" w:color="auto" w:sz="4" w:space="0"/>
              <w:right w:val="single" w:color="auto" w:sz="4" w:space="0"/>
            </w:tcBorders>
            <w:shd w:val="clear" w:color="auto" w:fill="auto"/>
            <w:vAlign w:val="center"/>
          </w:tcPr>
          <w:p w14:paraId="5B234A62">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南桥镇</w:t>
            </w:r>
          </w:p>
        </w:tc>
        <w:tc>
          <w:tcPr>
            <w:tcW w:w="2551" w:type="pct"/>
            <w:tcBorders>
              <w:top w:val="nil"/>
              <w:left w:val="nil"/>
              <w:bottom w:val="single" w:color="auto" w:sz="4" w:space="0"/>
              <w:right w:val="single" w:color="auto" w:sz="4" w:space="0"/>
            </w:tcBorders>
            <w:shd w:val="clear" w:color="auto" w:fill="auto"/>
            <w:vAlign w:val="center"/>
          </w:tcPr>
          <w:p w14:paraId="67C36CCC">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计划在南桥镇镇墟建设黎苗文化体育馆，主要建设内容包括：新建主体场馆（含1个标准化室内篮球场，可兼容羽毛球、排球等多功能运动需求，配备固定观众看台500</w:t>
            </w:r>
            <w:r>
              <w:rPr>
                <w:rFonts w:hint="eastAsia" w:cs="仿宋_GB2312"/>
                <w:bCs/>
                <w:color w:val="auto"/>
                <w:kern w:val="0"/>
                <w:sz w:val="24"/>
                <w:szCs w:val="21"/>
                <w:lang w:val="en-US" w:eastAsia="zh-CN" w:bidi="ar-SA"/>
              </w:rPr>
              <w:t>—</w:t>
            </w:r>
            <w:r>
              <w:rPr>
                <w:rFonts w:hint="eastAsia" w:ascii="仿宋_GB2312" w:hAnsi="仿宋_GB2312" w:eastAsia="仿宋_GB2312" w:cs="仿宋_GB2312"/>
                <w:bCs/>
                <w:color w:val="auto"/>
                <w:kern w:val="0"/>
                <w:sz w:val="24"/>
                <w:szCs w:val="21"/>
                <w:lang w:val="en-US" w:eastAsia="zh-CN" w:bidi="ar-SA"/>
              </w:rPr>
              <w:t>800座），融入黎锦图腾、船形屋造型等民族元素装饰；配套建设黎苗传统体育文化展示厅（展示顶牛、竹竿舞等民俗体育器材及文化史料）、运动员更衣室、器材储藏室、办公区及便民服务中心；同步完善场地硬化、生态停车场（规划停车位60</w:t>
            </w:r>
            <w:r>
              <w:rPr>
                <w:rFonts w:hint="eastAsia" w:cs="仿宋_GB2312"/>
                <w:bCs/>
                <w:color w:val="auto"/>
                <w:kern w:val="0"/>
                <w:sz w:val="24"/>
                <w:szCs w:val="21"/>
                <w:lang w:val="en-US" w:eastAsia="zh-CN" w:bidi="ar-SA"/>
              </w:rPr>
              <w:t>—</w:t>
            </w:r>
            <w:r>
              <w:rPr>
                <w:rFonts w:hint="eastAsia" w:ascii="仿宋_GB2312" w:hAnsi="仿宋_GB2312" w:eastAsia="仿宋_GB2312" w:cs="仿宋_GB2312"/>
                <w:bCs/>
                <w:color w:val="auto"/>
                <w:kern w:val="0"/>
                <w:sz w:val="24"/>
                <w:szCs w:val="21"/>
                <w:lang w:val="en-US" w:eastAsia="zh-CN" w:bidi="ar-SA"/>
              </w:rPr>
              <w:t>80个）、绿化工程、消防系统、照明音响及无障碍设施，打造集体育赛事、文化展示、群众健身于一体的民族特色文体地标。</w:t>
            </w:r>
          </w:p>
        </w:tc>
        <w:tc>
          <w:tcPr>
            <w:tcW w:w="242" w:type="pct"/>
            <w:tcBorders>
              <w:top w:val="nil"/>
              <w:left w:val="nil"/>
              <w:bottom w:val="single" w:color="auto" w:sz="4" w:space="0"/>
              <w:right w:val="single" w:color="auto" w:sz="4" w:space="0"/>
            </w:tcBorders>
            <w:shd w:val="clear" w:color="auto" w:fill="auto"/>
            <w:vAlign w:val="center"/>
          </w:tcPr>
          <w:p w14:paraId="7D58478E">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624F22F3">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3000</w:t>
            </w:r>
          </w:p>
        </w:tc>
        <w:tc>
          <w:tcPr>
            <w:tcW w:w="385" w:type="pct"/>
            <w:tcBorders>
              <w:top w:val="nil"/>
              <w:left w:val="nil"/>
              <w:bottom w:val="single" w:color="auto" w:sz="4" w:space="0"/>
              <w:right w:val="single" w:color="auto" w:sz="4" w:space="0"/>
            </w:tcBorders>
            <w:shd w:val="clear" w:color="auto" w:fill="auto"/>
            <w:vAlign w:val="center"/>
          </w:tcPr>
          <w:p w14:paraId="0FE2E91F">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28</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4B1D48D8">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体育旅游</w:t>
            </w:r>
          </w:p>
        </w:tc>
      </w:tr>
      <w:tr w14:paraId="2E3A19BE">
        <w:tblPrEx>
          <w:tblCellMar>
            <w:top w:w="0" w:type="dxa"/>
            <w:left w:w="108" w:type="dxa"/>
            <w:bottom w:w="0" w:type="dxa"/>
            <w:right w:w="108" w:type="dxa"/>
          </w:tblCellMar>
        </w:tblPrEx>
        <w:trPr>
          <w:trHeight w:val="341"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584E4780">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4</w:t>
            </w:r>
          </w:p>
        </w:tc>
        <w:tc>
          <w:tcPr>
            <w:tcW w:w="610" w:type="pct"/>
            <w:tcBorders>
              <w:top w:val="nil"/>
              <w:left w:val="nil"/>
              <w:bottom w:val="single" w:color="auto" w:sz="4" w:space="0"/>
              <w:right w:val="single" w:color="auto" w:sz="4" w:space="0"/>
            </w:tcBorders>
            <w:shd w:val="clear" w:color="auto" w:fill="auto"/>
            <w:vAlign w:val="center"/>
          </w:tcPr>
          <w:p w14:paraId="2884443A">
            <w:pPr>
              <w:widowControl/>
              <w:spacing w:line="240" w:lineRule="auto"/>
              <w:ind w:firstLine="0" w:firstLineChars="0"/>
              <w:jc w:val="center"/>
              <w:rPr>
                <w:rFonts w:hint="eastAsia" w:ascii="仿宋_GB2312" w:hAnsi="仿宋_GB2312" w:eastAsia="仿宋_GB2312" w:cs="仿宋_GB2312"/>
                <w:b/>
                <w:bCs w:val="0"/>
                <w:color w:val="auto"/>
                <w:kern w:val="0"/>
                <w:sz w:val="24"/>
                <w:szCs w:val="21"/>
                <w:highlight w:val="none"/>
              </w:rPr>
            </w:pPr>
            <w:r>
              <w:rPr>
                <w:rFonts w:hint="eastAsia" w:ascii="仿宋_GB2312" w:hAnsi="仿宋_GB2312" w:eastAsia="仿宋_GB2312" w:cs="仿宋_GB2312"/>
                <w:b/>
                <w:bCs w:val="0"/>
                <w:color w:val="auto"/>
                <w:kern w:val="0"/>
                <w:sz w:val="24"/>
                <w:szCs w:val="21"/>
                <w:lang w:val="en-US" w:eastAsia="zh-CN" w:bidi="ar-SA"/>
              </w:rPr>
              <w:t>六连岭烈士陵园陈列馆改陈布展项目</w:t>
            </w:r>
          </w:p>
        </w:tc>
        <w:tc>
          <w:tcPr>
            <w:tcW w:w="339" w:type="pct"/>
            <w:tcBorders>
              <w:top w:val="nil"/>
              <w:left w:val="nil"/>
              <w:bottom w:val="single" w:color="auto" w:sz="4" w:space="0"/>
              <w:right w:val="single" w:color="auto" w:sz="4" w:space="0"/>
            </w:tcBorders>
            <w:shd w:val="clear" w:color="auto" w:fill="auto"/>
            <w:vAlign w:val="center"/>
          </w:tcPr>
          <w:p w14:paraId="41BA6794">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万宁市</w:t>
            </w:r>
          </w:p>
        </w:tc>
        <w:tc>
          <w:tcPr>
            <w:tcW w:w="2551" w:type="pct"/>
            <w:tcBorders>
              <w:top w:val="nil"/>
              <w:left w:val="nil"/>
              <w:bottom w:val="single" w:color="auto" w:sz="4" w:space="0"/>
              <w:right w:val="single" w:color="auto" w:sz="4" w:space="0"/>
            </w:tcBorders>
            <w:shd w:val="clear" w:color="auto" w:fill="auto"/>
            <w:vAlign w:val="center"/>
          </w:tcPr>
          <w:p w14:paraId="3D6821B7">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陈列馆设施全面升级：本次设施升级涉及明确的改造与拆除范围：1号馆改造面积1246㎡、2号馆改造面积402㎡、3号馆改造面积495㎡，三馆总改造面积达2143㎡。为彻底清除老旧破损结构、为新系统铺设与空间重构创造条件，需完成地面拆除1444.29㎡、墙面拆除2280.9㎡、天花拆除1732.98㎡，全面剥离老化腐朽的展陈设施与建筑构件。对3个馆的电路系统进行彻底更新改造；全面更新消防设备，包括配备符合标准的干粉灭火器、修复消防栓阀门使其正常运行、升级火灾报警系统并建立消防监控联动机制。对2号馆（原改革发展史馆）地面下陷问题进行专业修复。</w:t>
            </w:r>
          </w:p>
        </w:tc>
        <w:tc>
          <w:tcPr>
            <w:tcW w:w="242" w:type="pct"/>
            <w:tcBorders>
              <w:top w:val="nil"/>
              <w:left w:val="nil"/>
              <w:bottom w:val="single" w:color="auto" w:sz="4" w:space="0"/>
              <w:right w:val="single" w:color="auto" w:sz="4" w:space="0"/>
            </w:tcBorders>
            <w:shd w:val="clear" w:color="auto" w:fill="auto"/>
            <w:vAlign w:val="center"/>
          </w:tcPr>
          <w:p w14:paraId="18C40DC8">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续建</w:t>
            </w:r>
          </w:p>
        </w:tc>
        <w:tc>
          <w:tcPr>
            <w:tcW w:w="372" w:type="pct"/>
            <w:tcBorders>
              <w:top w:val="nil"/>
              <w:left w:val="nil"/>
              <w:bottom w:val="single" w:color="auto" w:sz="4" w:space="0"/>
              <w:right w:val="single" w:color="auto" w:sz="4" w:space="0"/>
            </w:tcBorders>
            <w:shd w:val="clear" w:color="auto" w:fill="auto"/>
            <w:vAlign w:val="center"/>
          </w:tcPr>
          <w:p w14:paraId="051A550F">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1900</w:t>
            </w:r>
          </w:p>
        </w:tc>
        <w:tc>
          <w:tcPr>
            <w:tcW w:w="385" w:type="pct"/>
            <w:tcBorders>
              <w:top w:val="nil"/>
              <w:left w:val="nil"/>
              <w:bottom w:val="single" w:color="auto" w:sz="4" w:space="0"/>
              <w:right w:val="single" w:color="auto" w:sz="4" w:space="0"/>
            </w:tcBorders>
            <w:shd w:val="clear" w:color="auto" w:fill="auto"/>
            <w:vAlign w:val="center"/>
          </w:tcPr>
          <w:p w14:paraId="24A61AF3">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—2027年</w:t>
            </w:r>
          </w:p>
        </w:tc>
        <w:tc>
          <w:tcPr>
            <w:tcW w:w="258" w:type="pct"/>
            <w:tcBorders>
              <w:top w:val="nil"/>
              <w:left w:val="nil"/>
              <w:bottom w:val="single" w:color="auto" w:sz="4" w:space="0"/>
              <w:right w:val="single" w:color="auto" w:sz="4" w:space="0"/>
            </w:tcBorders>
            <w:shd w:val="clear" w:color="auto" w:fill="auto"/>
            <w:vAlign w:val="center"/>
          </w:tcPr>
          <w:p w14:paraId="67807359">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文化旅游</w:t>
            </w:r>
          </w:p>
        </w:tc>
      </w:tr>
      <w:tr w14:paraId="0714E97F">
        <w:tblPrEx>
          <w:tblCellMar>
            <w:top w:w="0" w:type="dxa"/>
            <w:left w:w="108" w:type="dxa"/>
            <w:bottom w:w="0" w:type="dxa"/>
            <w:right w:w="108" w:type="dxa"/>
          </w:tblCellMar>
        </w:tblPrEx>
        <w:trPr>
          <w:trHeight w:val="90"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6385DB6C">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5</w:t>
            </w:r>
          </w:p>
        </w:tc>
        <w:tc>
          <w:tcPr>
            <w:tcW w:w="610" w:type="pct"/>
            <w:tcBorders>
              <w:top w:val="nil"/>
              <w:left w:val="nil"/>
              <w:bottom w:val="single" w:color="auto" w:sz="4" w:space="0"/>
              <w:right w:val="single" w:color="auto" w:sz="4" w:space="0"/>
            </w:tcBorders>
            <w:shd w:val="clear" w:color="auto" w:fill="auto"/>
            <w:vAlign w:val="center"/>
          </w:tcPr>
          <w:p w14:paraId="7854F6C7">
            <w:pPr>
              <w:widowControl/>
              <w:spacing w:line="240" w:lineRule="auto"/>
              <w:ind w:firstLine="0" w:firstLineChars="0"/>
              <w:jc w:val="center"/>
              <w:rPr>
                <w:rFonts w:hint="eastAsia" w:ascii="仿宋_GB2312" w:hAnsi="仿宋_GB2312" w:eastAsia="仿宋_GB2312" w:cs="仿宋_GB2312"/>
                <w:b/>
                <w:bCs w:val="0"/>
                <w:color w:val="auto"/>
                <w:kern w:val="0"/>
                <w:sz w:val="24"/>
                <w:szCs w:val="21"/>
              </w:rPr>
            </w:pPr>
            <w:r>
              <w:rPr>
                <w:rFonts w:hint="eastAsia" w:ascii="仿宋_GB2312" w:hAnsi="仿宋_GB2312" w:eastAsia="仿宋_GB2312" w:cs="仿宋_GB2312"/>
                <w:b/>
                <w:bCs w:val="0"/>
                <w:color w:val="auto"/>
                <w:kern w:val="0"/>
                <w:sz w:val="24"/>
                <w:szCs w:val="21"/>
              </w:rPr>
              <w:t>万宁低空经济基础设施建设项目</w:t>
            </w:r>
          </w:p>
        </w:tc>
        <w:tc>
          <w:tcPr>
            <w:tcW w:w="339" w:type="pct"/>
            <w:tcBorders>
              <w:top w:val="nil"/>
              <w:left w:val="nil"/>
              <w:bottom w:val="single" w:color="auto" w:sz="4" w:space="0"/>
              <w:right w:val="single" w:color="auto" w:sz="4" w:space="0"/>
            </w:tcBorders>
            <w:shd w:val="clear" w:color="auto" w:fill="auto"/>
            <w:vAlign w:val="center"/>
          </w:tcPr>
          <w:p w14:paraId="6CAD471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万宁市</w:t>
            </w:r>
          </w:p>
        </w:tc>
        <w:tc>
          <w:tcPr>
            <w:tcW w:w="2551" w:type="pct"/>
            <w:tcBorders>
              <w:top w:val="nil"/>
              <w:left w:val="nil"/>
              <w:bottom w:val="single" w:color="auto" w:sz="4" w:space="0"/>
              <w:right w:val="single" w:color="auto" w:sz="4" w:space="0"/>
            </w:tcBorders>
            <w:shd w:val="clear" w:color="auto" w:fill="auto"/>
            <w:vAlign w:val="center"/>
          </w:tcPr>
          <w:p w14:paraId="12EF0F85">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项目主要包含海南万宁智慧航空产业园配套工程、基础设施工程及低空飞行综合管理服务平台建设。</w:t>
            </w:r>
          </w:p>
          <w:p w14:paraId="5901AE3A">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1</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海南万宁智慧航空产业园配套工程</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包括新建1栋地上1层的机库，1栋地上1层局部4层的维修机库综合楼，1栋地上1层地下1层的消防泵房及变配电间</w:t>
            </w:r>
            <w:r>
              <w:rPr>
                <w:rFonts w:hint="eastAsia" w:ascii="仿宋_GB2312" w:hAnsi="仿宋_GB2312" w:eastAsia="仿宋_GB2312" w:cs="仿宋_GB2312"/>
                <w:bCs/>
                <w:color w:val="auto"/>
                <w:kern w:val="0"/>
                <w:sz w:val="24"/>
                <w:szCs w:val="21"/>
                <w:lang w:eastAsia="zh-CN"/>
              </w:rPr>
              <w:t>。</w:t>
            </w:r>
          </w:p>
          <w:p w14:paraId="5A3B76A3">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2</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海南万宁智慧航空产业园基础设施工程建设内容</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包括低空文旅、应急救援、飞行培训和私人飞机托管业态建设。</w:t>
            </w:r>
          </w:p>
          <w:p w14:paraId="067934F6">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①</w:t>
            </w:r>
            <w:r>
              <w:rPr>
                <w:rFonts w:hint="eastAsia" w:ascii="仿宋_GB2312" w:hAnsi="仿宋_GB2312" w:eastAsia="仿宋_GB2312" w:cs="仿宋_GB2312"/>
                <w:bCs/>
                <w:color w:val="auto"/>
                <w:kern w:val="0"/>
                <w:sz w:val="24"/>
                <w:szCs w:val="21"/>
              </w:rPr>
              <w:t>低空文旅业态</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建设接待大厅、票务区、配套服务区</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建设直升机停机坪，周边</w:t>
            </w:r>
            <w:r>
              <w:rPr>
                <w:rFonts w:hint="eastAsia" w:cs="仿宋_GB2312"/>
                <w:bCs/>
                <w:color w:val="auto"/>
                <w:kern w:val="0"/>
                <w:sz w:val="24"/>
                <w:szCs w:val="21"/>
                <w:lang w:eastAsia="zh-CN"/>
              </w:rPr>
              <w:t>配备</w:t>
            </w:r>
            <w:r>
              <w:rPr>
                <w:rFonts w:hint="eastAsia" w:ascii="仿宋_GB2312" w:hAnsi="仿宋_GB2312" w:eastAsia="仿宋_GB2312" w:cs="仿宋_GB2312"/>
                <w:bCs/>
                <w:color w:val="auto"/>
                <w:kern w:val="0"/>
                <w:sz w:val="24"/>
                <w:szCs w:val="21"/>
              </w:rPr>
              <w:t>导航设施用房、通信设施用房、配套服务区和停车场及模拟飞行中心等内容</w:t>
            </w:r>
            <w:r>
              <w:rPr>
                <w:rFonts w:hint="eastAsia" w:cs="仿宋_GB2312"/>
                <w:bCs/>
                <w:color w:val="auto"/>
                <w:kern w:val="0"/>
                <w:sz w:val="24"/>
                <w:szCs w:val="21"/>
                <w:lang w:eastAsia="zh-CN"/>
              </w:rPr>
              <w:t>；</w:t>
            </w:r>
          </w:p>
          <w:p w14:paraId="7AD6EDE1">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cs="仿宋_GB2312"/>
                <w:bCs/>
                <w:color w:val="auto"/>
                <w:kern w:val="0"/>
                <w:sz w:val="24"/>
                <w:szCs w:val="21"/>
                <w:lang w:val="en-US" w:eastAsia="zh-CN"/>
              </w:rPr>
              <w:t>②</w:t>
            </w:r>
            <w:r>
              <w:rPr>
                <w:rFonts w:hint="eastAsia" w:ascii="仿宋_GB2312" w:hAnsi="仿宋_GB2312" w:eastAsia="仿宋_GB2312" w:cs="仿宋_GB2312"/>
                <w:bCs/>
                <w:color w:val="auto"/>
                <w:kern w:val="0"/>
                <w:sz w:val="24"/>
                <w:szCs w:val="21"/>
              </w:rPr>
              <w:t>应急救援业态</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建设指挥大厅</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含拼接屏、指挥系统和多席位操作台</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、调度室、会议室</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机房、直升机停机坪、物资储备库、维修保养车间、业务用房和训练场地</w:t>
            </w:r>
            <w:r>
              <w:rPr>
                <w:rFonts w:hint="eastAsia" w:cs="仿宋_GB2312"/>
                <w:bCs/>
                <w:color w:val="auto"/>
                <w:kern w:val="0"/>
                <w:sz w:val="24"/>
                <w:szCs w:val="21"/>
                <w:lang w:eastAsia="zh-CN"/>
              </w:rPr>
              <w:t>；</w:t>
            </w:r>
          </w:p>
          <w:p w14:paraId="1FD54CF8">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③</w:t>
            </w:r>
            <w:r>
              <w:rPr>
                <w:rFonts w:hint="eastAsia" w:ascii="仿宋_GB2312" w:hAnsi="仿宋_GB2312" w:eastAsia="仿宋_GB2312" w:cs="仿宋_GB2312"/>
                <w:bCs/>
                <w:color w:val="auto"/>
                <w:kern w:val="0"/>
                <w:sz w:val="24"/>
                <w:szCs w:val="21"/>
              </w:rPr>
              <w:t>飞行培训业态</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建设1栋理论教学楼</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包含阶梯教室和VR模拟教室</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建设1栋飞行模拟中心</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实机训练场设置停机位</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业务用房</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飞行准备室</w:t>
            </w:r>
            <w:r>
              <w:rPr>
                <w:rFonts w:hint="eastAsia" w:cs="仿宋_GB2312"/>
                <w:bCs/>
                <w:color w:val="auto"/>
                <w:kern w:val="0"/>
                <w:sz w:val="24"/>
                <w:szCs w:val="21"/>
                <w:lang w:val="en-US" w:eastAsia="zh-CN"/>
              </w:rPr>
              <w:t>并</w:t>
            </w:r>
            <w:r>
              <w:rPr>
                <w:rFonts w:hint="eastAsia" w:ascii="仿宋_GB2312" w:hAnsi="仿宋_GB2312" w:eastAsia="仿宋_GB2312" w:cs="仿宋_GB2312"/>
                <w:bCs/>
                <w:color w:val="auto"/>
                <w:kern w:val="0"/>
                <w:sz w:val="24"/>
                <w:szCs w:val="21"/>
              </w:rPr>
              <w:t>设有航前检查等区域</w:t>
            </w:r>
            <w:r>
              <w:rPr>
                <w:rFonts w:hint="eastAsia" w:cs="仿宋_GB2312"/>
                <w:bCs/>
                <w:color w:val="auto"/>
                <w:kern w:val="0"/>
                <w:sz w:val="24"/>
                <w:szCs w:val="21"/>
                <w:lang w:val="en-US" w:eastAsia="zh-CN"/>
              </w:rPr>
              <w:t>；</w:t>
            </w:r>
          </w:p>
          <w:p w14:paraId="7B05DEF4">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val="en-US" w:eastAsia="zh-CN"/>
              </w:rPr>
              <w:t>④</w:t>
            </w:r>
            <w:r>
              <w:rPr>
                <w:rFonts w:hint="eastAsia" w:ascii="仿宋_GB2312" w:hAnsi="仿宋_GB2312" w:eastAsia="仿宋_GB2312" w:cs="仿宋_GB2312"/>
                <w:bCs/>
                <w:color w:val="auto"/>
                <w:kern w:val="0"/>
                <w:sz w:val="24"/>
                <w:szCs w:val="21"/>
              </w:rPr>
              <w:t>私人飞机托管业态</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建设小型机库、中型机库、大型机库、停机坪</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建设1栋综合服务楼</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建设维修保养车间、航材库等</w:t>
            </w:r>
            <w:r>
              <w:rPr>
                <w:rFonts w:hint="eastAsia" w:ascii="仿宋_GB2312" w:hAnsi="仿宋_GB2312" w:eastAsia="仿宋_GB2312" w:cs="仿宋_GB2312"/>
                <w:bCs/>
                <w:color w:val="auto"/>
                <w:kern w:val="0"/>
                <w:sz w:val="24"/>
                <w:szCs w:val="21"/>
                <w:lang w:eastAsia="zh-CN"/>
              </w:rPr>
              <w:t>。</w:t>
            </w:r>
          </w:p>
          <w:p w14:paraId="6B67DFA4">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cs="仿宋_GB2312"/>
                <w:bCs/>
                <w:color w:val="auto"/>
                <w:kern w:val="0"/>
                <w:sz w:val="24"/>
                <w:szCs w:val="21"/>
                <w:lang w:eastAsia="zh-CN"/>
              </w:rPr>
              <w:t>（</w:t>
            </w:r>
            <w:r>
              <w:rPr>
                <w:rFonts w:hint="eastAsia" w:cs="仿宋_GB2312"/>
                <w:bCs/>
                <w:color w:val="auto"/>
                <w:kern w:val="0"/>
                <w:sz w:val="24"/>
                <w:szCs w:val="21"/>
                <w:lang w:val="en-US" w:eastAsia="zh-CN"/>
              </w:rPr>
              <w:t>3</w:t>
            </w:r>
            <w:r>
              <w:rPr>
                <w:rFonts w:hint="eastAsia"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低空飞行综合管理服务平台建设</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包括低空飞行管理中台，低空飞行服务平台、低空一网统飞平台、低空+政务巡检服务平台、低空+文旅管理服务平台、低空+物流配送管理服务平台、低空+应急救援管理服务平台、低空+警务智慧管控平台、低空+能源应用综合运检平台、低空+水安全管理服务平台系统</w:t>
            </w:r>
            <w:r>
              <w:rPr>
                <w:rFonts w:hint="eastAsia" w:ascii="仿宋_GB2312" w:hAnsi="仿宋_GB2312" w:eastAsia="仿宋_GB2312" w:cs="仿宋_GB2312"/>
                <w:bCs/>
                <w:color w:val="auto"/>
                <w:kern w:val="0"/>
                <w:sz w:val="24"/>
                <w:szCs w:val="21"/>
                <w:lang w:eastAsia="zh-CN"/>
              </w:rPr>
              <w:t>。</w:t>
            </w:r>
          </w:p>
        </w:tc>
        <w:tc>
          <w:tcPr>
            <w:tcW w:w="242" w:type="pct"/>
            <w:tcBorders>
              <w:top w:val="nil"/>
              <w:left w:val="nil"/>
              <w:bottom w:val="single" w:color="auto" w:sz="4" w:space="0"/>
              <w:right w:val="single" w:color="auto" w:sz="4" w:space="0"/>
            </w:tcBorders>
            <w:shd w:val="clear" w:color="auto" w:fill="auto"/>
            <w:vAlign w:val="center"/>
          </w:tcPr>
          <w:p w14:paraId="2D86067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3714AEE9">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93309.74</w:t>
            </w:r>
          </w:p>
        </w:tc>
        <w:tc>
          <w:tcPr>
            <w:tcW w:w="385" w:type="pct"/>
            <w:tcBorders>
              <w:top w:val="nil"/>
              <w:left w:val="nil"/>
              <w:bottom w:val="single" w:color="auto" w:sz="4" w:space="0"/>
              <w:right w:val="single" w:color="auto" w:sz="4" w:space="0"/>
            </w:tcBorders>
            <w:shd w:val="clear" w:color="auto" w:fill="auto"/>
            <w:vAlign w:val="center"/>
          </w:tcPr>
          <w:p w14:paraId="587E7F5A">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30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75841CBD">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低空</w:t>
            </w:r>
            <w:r>
              <w:rPr>
                <w:rFonts w:hint="eastAsia" w:ascii="仿宋_GB2312" w:hAnsi="仿宋_GB2312" w:eastAsia="仿宋_GB2312" w:cs="仿宋_GB2312"/>
                <w:bCs/>
                <w:color w:val="auto"/>
                <w:kern w:val="0"/>
                <w:sz w:val="24"/>
                <w:szCs w:val="21"/>
              </w:rPr>
              <w:t>旅游</w:t>
            </w:r>
          </w:p>
        </w:tc>
      </w:tr>
      <w:tr w14:paraId="6EB68762">
        <w:tblPrEx>
          <w:tblCellMar>
            <w:top w:w="0" w:type="dxa"/>
            <w:left w:w="108" w:type="dxa"/>
            <w:bottom w:w="0" w:type="dxa"/>
            <w:right w:w="108" w:type="dxa"/>
          </w:tblCellMar>
        </w:tblPrEx>
        <w:trPr>
          <w:trHeight w:val="328"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3F7FA53A">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6</w:t>
            </w:r>
          </w:p>
        </w:tc>
        <w:tc>
          <w:tcPr>
            <w:tcW w:w="610" w:type="pct"/>
            <w:tcBorders>
              <w:top w:val="nil"/>
              <w:left w:val="nil"/>
              <w:bottom w:val="single" w:color="auto" w:sz="4" w:space="0"/>
              <w:right w:val="single" w:color="auto" w:sz="4" w:space="0"/>
            </w:tcBorders>
            <w:shd w:val="clear" w:color="auto" w:fill="auto"/>
            <w:vAlign w:val="center"/>
          </w:tcPr>
          <w:p w14:paraId="7925D887">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rPr>
              <w:t>环岛旅游公路石梅湾至陵水香水湾段</w:t>
            </w:r>
          </w:p>
        </w:tc>
        <w:tc>
          <w:tcPr>
            <w:tcW w:w="339" w:type="pct"/>
            <w:tcBorders>
              <w:top w:val="nil"/>
              <w:left w:val="nil"/>
              <w:bottom w:val="single" w:color="auto" w:sz="4" w:space="0"/>
              <w:right w:val="single" w:color="auto" w:sz="4" w:space="0"/>
            </w:tcBorders>
            <w:shd w:val="clear" w:color="auto" w:fill="auto"/>
            <w:vAlign w:val="center"/>
          </w:tcPr>
          <w:p w14:paraId="3F91B111">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礼纪镇</w:t>
            </w:r>
          </w:p>
        </w:tc>
        <w:tc>
          <w:tcPr>
            <w:tcW w:w="2551" w:type="pct"/>
            <w:tcBorders>
              <w:top w:val="nil"/>
              <w:left w:val="nil"/>
              <w:bottom w:val="single" w:color="auto" w:sz="4" w:space="0"/>
              <w:right w:val="single" w:color="auto" w:sz="4" w:space="0"/>
            </w:tcBorders>
            <w:shd w:val="clear" w:color="auto" w:fill="auto"/>
            <w:vAlign w:val="center"/>
          </w:tcPr>
          <w:p w14:paraId="072DBC24">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lang w:eastAsia="zh-CN"/>
              </w:rPr>
              <w:t>全长23.4公里，其中陆地线路19.4公里，海上线路4公里。一般路段采用双车道三级公路标准，设计速度40公里/小时；途经景点或驿站路段、跨海大桥采用双车道二级公路设计标准，设计速度60公里/小时。</w:t>
            </w:r>
          </w:p>
        </w:tc>
        <w:tc>
          <w:tcPr>
            <w:tcW w:w="242" w:type="pct"/>
            <w:tcBorders>
              <w:top w:val="nil"/>
              <w:left w:val="nil"/>
              <w:bottom w:val="single" w:color="auto" w:sz="4" w:space="0"/>
              <w:right w:val="single" w:color="auto" w:sz="4" w:space="0"/>
            </w:tcBorders>
            <w:shd w:val="clear" w:color="auto" w:fill="auto"/>
            <w:vAlign w:val="center"/>
          </w:tcPr>
          <w:p w14:paraId="2F77D677">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0F92164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168000</w:t>
            </w:r>
          </w:p>
        </w:tc>
        <w:tc>
          <w:tcPr>
            <w:tcW w:w="385" w:type="pct"/>
            <w:tcBorders>
              <w:top w:val="nil"/>
              <w:left w:val="nil"/>
              <w:bottom w:val="single" w:color="auto" w:sz="4" w:space="0"/>
              <w:right w:val="single" w:color="auto" w:sz="4" w:space="0"/>
            </w:tcBorders>
            <w:shd w:val="clear" w:color="auto" w:fill="auto"/>
            <w:vAlign w:val="center"/>
          </w:tcPr>
          <w:p w14:paraId="04FE48C9">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30</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36E7921C">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旅游</w:t>
            </w:r>
            <w:r>
              <w:rPr>
                <w:rFonts w:hint="eastAsia" w:ascii="仿宋_GB2312" w:hAnsi="仿宋_GB2312" w:eastAsia="仿宋_GB2312" w:cs="仿宋_GB2312"/>
                <w:bCs/>
                <w:color w:val="auto"/>
                <w:kern w:val="0"/>
                <w:sz w:val="24"/>
                <w:szCs w:val="21"/>
                <w:lang w:val="en-US" w:eastAsia="zh-CN"/>
              </w:rPr>
              <w:t>交通</w:t>
            </w:r>
          </w:p>
        </w:tc>
      </w:tr>
      <w:tr w14:paraId="39263232">
        <w:tblPrEx>
          <w:tblCellMar>
            <w:top w:w="0" w:type="dxa"/>
            <w:left w:w="108" w:type="dxa"/>
            <w:bottom w:w="0" w:type="dxa"/>
            <w:right w:w="108" w:type="dxa"/>
          </w:tblCellMar>
        </w:tblPrEx>
        <w:trPr>
          <w:trHeight w:val="829"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6BC80C61">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eastAsia="zh-CN"/>
              </w:rPr>
            </w:pPr>
            <w:r>
              <w:rPr>
                <w:rFonts w:hint="eastAsia" w:ascii="仿宋_GB2312" w:hAnsi="仿宋_GB2312" w:eastAsia="仿宋_GB2312" w:cs="仿宋_GB2312"/>
                <w:b/>
                <w:bCs w:val="0"/>
                <w:color w:val="auto"/>
                <w:kern w:val="0"/>
                <w:sz w:val="24"/>
                <w:szCs w:val="21"/>
                <w:lang w:val="en-US" w:eastAsia="zh-CN"/>
              </w:rPr>
              <w:t>7</w:t>
            </w:r>
          </w:p>
        </w:tc>
        <w:tc>
          <w:tcPr>
            <w:tcW w:w="610" w:type="pct"/>
            <w:tcBorders>
              <w:top w:val="nil"/>
              <w:left w:val="nil"/>
              <w:bottom w:val="single" w:color="auto" w:sz="4" w:space="0"/>
              <w:right w:val="single" w:color="auto" w:sz="4" w:space="0"/>
            </w:tcBorders>
            <w:shd w:val="clear" w:color="auto" w:fill="auto"/>
            <w:vAlign w:val="center"/>
          </w:tcPr>
          <w:p w14:paraId="56A3FD4B">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rPr>
              <w:t>海南环岛旅游公路“车路云一体化”万宁示范段基础设施建设项目</w:t>
            </w:r>
          </w:p>
        </w:tc>
        <w:tc>
          <w:tcPr>
            <w:tcW w:w="339" w:type="pct"/>
            <w:tcBorders>
              <w:top w:val="nil"/>
              <w:left w:val="nil"/>
              <w:bottom w:val="single" w:color="auto" w:sz="4" w:space="0"/>
              <w:right w:val="single" w:color="auto" w:sz="4" w:space="0"/>
            </w:tcBorders>
            <w:shd w:val="clear" w:color="auto" w:fill="auto"/>
            <w:vAlign w:val="center"/>
          </w:tcPr>
          <w:p w14:paraId="0FF7164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万宁市</w:t>
            </w:r>
          </w:p>
        </w:tc>
        <w:tc>
          <w:tcPr>
            <w:tcW w:w="2551" w:type="pct"/>
            <w:tcBorders>
              <w:top w:val="nil"/>
              <w:left w:val="nil"/>
              <w:bottom w:val="single" w:color="auto" w:sz="4" w:space="0"/>
              <w:right w:val="single" w:color="auto" w:sz="4" w:space="0"/>
            </w:tcBorders>
            <w:shd w:val="clear" w:color="auto" w:fill="auto"/>
            <w:vAlign w:val="center"/>
          </w:tcPr>
          <w:p w14:paraId="01D71D72">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本项目建设内容主要包括数智中心及配套设施建设，数智中心包含数智运营平台、农业服务平台、智能体及大模型、通信网络设备、定位设备等；配套基础设施主要包含数据中心与通讯网络设施、智能交通设施、低空经济配套设施、生态保护设施等。</w:t>
            </w:r>
          </w:p>
          <w:p w14:paraId="47274C00">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建筑工程主要包括临时建筑（服务中心、公厕、更衣间、观景亭）、观景平台、观景台栈道。购置并安装数智中心设备、配套设施设备及公用工程建设。</w:t>
            </w:r>
          </w:p>
        </w:tc>
        <w:tc>
          <w:tcPr>
            <w:tcW w:w="242" w:type="pct"/>
            <w:tcBorders>
              <w:top w:val="nil"/>
              <w:left w:val="nil"/>
              <w:bottom w:val="single" w:color="auto" w:sz="4" w:space="0"/>
              <w:right w:val="single" w:color="auto" w:sz="4" w:space="0"/>
            </w:tcBorders>
            <w:shd w:val="clear" w:color="auto" w:fill="auto"/>
            <w:vAlign w:val="center"/>
          </w:tcPr>
          <w:p w14:paraId="4A6B6488">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2C555617">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3500</w:t>
            </w:r>
          </w:p>
        </w:tc>
        <w:tc>
          <w:tcPr>
            <w:tcW w:w="385" w:type="pct"/>
            <w:tcBorders>
              <w:top w:val="nil"/>
              <w:left w:val="nil"/>
              <w:bottom w:val="single" w:color="auto" w:sz="4" w:space="0"/>
              <w:right w:val="single" w:color="auto" w:sz="4" w:space="0"/>
            </w:tcBorders>
            <w:shd w:val="clear" w:color="auto" w:fill="auto"/>
            <w:vAlign w:val="center"/>
          </w:tcPr>
          <w:p w14:paraId="4EBF8B2D">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6</w:t>
            </w: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681C619C">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lang w:val="en-US" w:eastAsia="zh-CN"/>
              </w:rPr>
              <w:t>科技</w:t>
            </w:r>
            <w:r>
              <w:rPr>
                <w:rFonts w:hint="eastAsia" w:ascii="仿宋_GB2312" w:hAnsi="仿宋_GB2312" w:eastAsia="仿宋_GB2312" w:cs="仿宋_GB2312"/>
                <w:bCs/>
                <w:color w:val="auto"/>
                <w:kern w:val="0"/>
                <w:sz w:val="24"/>
                <w:szCs w:val="21"/>
              </w:rPr>
              <w:t>旅游</w:t>
            </w:r>
          </w:p>
        </w:tc>
      </w:tr>
      <w:tr w14:paraId="1D1B773B">
        <w:tblPrEx>
          <w:tblCellMar>
            <w:top w:w="0" w:type="dxa"/>
            <w:left w:w="108" w:type="dxa"/>
            <w:bottom w:w="0" w:type="dxa"/>
            <w:right w:w="108" w:type="dxa"/>
          </w:tblCellMar>
        </w:tblPrEx>
        <w:trPr>
          <w:trHeight w:val="604" w:hRule="atLeast"/>
        </w:trPr>
        <w:tc>
          <w:tcPr>
            <w:tcW w:w="237" w:type="pct"/>
            <w:tcBorders>
              <w:top w:val="nil"/>
              <w:left w:val="single" w:color="auto" w:sz="4" w:space="0"/>
              <w:bottom w:val="single" w:color="auto" w:sz="4" w:space="0"/>
              <w:right w:val="single" w:color="auto" w:sz="4" w:space="0"/>
            </w:tcBorders>
            <w:shd w:val="clear" w:color="000000" w:fill="FFFFFF"/>
            <w:vAlign w:val="center"/>
          </w:tcPr>
          <w:p w14:paraId="06B06853">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rPr>
            </w:pPr>
            <w:r>
              <w:rPr>
                <w:rFonts w:hint="eastAsia" w:ascii="仿宋_GB2312" w:hAnsi="仿宋_GB2312" w:eastAsia="仿宋_GB2312" w:cs="仿宋_GB2312"/>
                <w:b/>
                <w:bCs w:val="0"/>
                <w:color w:val="auto"/>
                <w:kern w:val="0"/>
                <w:sz w:val="24"/>
                <w:szCs w:val="21"/>
                <w:lang w:val="en-US" w:eastAsia="zh-CN"/>
              </w:rPr>
              <w:t>8</w:t>
            </w:r>
          </w:p>
        </w:tc>
        <w:tc>
          <w:tcPr>
            <w:tcW w:w="610" w:type="pct"/>
            <w:tcBorders>
              <w:top w:val="nil"/>
              <w:left w:val="nil"/>
              <w:bottom w:val="single" w:color="auto" w:sz="4" w:space="0"/>
              <w:right w:val="single" w:color="auto" w:sz="4" w:space="0"/>
            </w:tcBorders>
            <w:shd w:val="clear" w:color="auto" w:fill="auto"/>
            <w:vAlign w:val="center"/>
          </w:tcPr>
          <w:p w14:paraId="2B37B3C9">
            <w:pPr>
              <w:widowControl/>
              <w:spacing w:line="240" w:lineRule="auto"/>
              <w:ind w:firstLine="0" w:firstLineChars="0"/>
              <w:jc w:val="center"/>
              <w:rPr>
                <w:rFonts w:hint="eastAsia" w:ascii="仿宋_GB2312" w:hAnsi="仿宋_GB2312" w:eastAsia="仿宋_GB2312" w:cs="仿宋_GB2312"/>
                <w:b/>
                <w:bCs w:val="0"/>
                <w:color w:val="auto"/>
                <w:kern w:val="0"/>
                <w:sz w:val="24"/>
                <w:szCs w:val="21"/>
                <w:lang w:val="en-US" w:eastAsia="zh-CN" w:bidi="ar-SA"/>
              </w:rPr>
            </w:pPr>
            <w:r>
              <w:rPr>
                <w:rFonts w:hint="eastAsia" w:ascii="仿宋_GB2312" w:hAnsi="仿宋_GB2312" w:eastAsia="仿宋_GB2312" w:cs="仿宋_GB2312"/>
                <w:b/>
                <w:bCs w:val="0"/>
                <w:color w:val="auto"/>
                <w:kern w:val="0"/>
                <w:sz w:val="24"/>
                <w:szCs w:val="21"/>
              </w:rPr>
              <w:t>万宁市神州半岛游艇码头项目</w:t>
            </w:r>
          </w:p>
        </w:tc>
        <w:tc>
          <w:tcPr>
            <w:tcW w:w="339" w:type="pct"/>
            <w:tcBorders>
              <w:top w:val="nil"/>
              <w:left w:val="nil"/>
              <w:bottom w:val="single" w:color="auto" w:sz="4" w:space="0"/>
              <w:right w:val="single" w:color="auto" w:sz="4" w:space="0"/>
            </w:tcBorders>
            <w:shd w:val="clear" w:color="auto" w:fill="auto"/>
            <w:vAlign w:val="center"/>
          </w:tcPr>
          <w:p w14:paraId="64C9DAAB">
            <w:pPr>
              <w:widowControl/>
              <w:spacing w:line="240" w:lineRule="auto"/>
              <w:ind w:firstLine="0" w:firstLineChars="0"/>
              <w:jc w:val="center"/>
              <w:rPr>
                <w:rFonts w:hint="default"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bidi="ar-SA"/>
              </w:rPr>
              <w:t>神州半岛、港北、小海</w:t>
            </w:r>
            <w:r>
              <w:rPr>
                <w:rFonts w:hint="eastAsia" w:cs="仿宋_GB2312"/>
                <w:bCs/>
                <w:color w:val="auto"/>
                <w:kern w:val="0"/>
                <w:sz w:val="24"/>
                <w:szCs w:val="21"/>
                <w:lang w:val="en-US" w:eastAsia="zh-CN" w:bidi="ar-SA"/>
              </w:rPr>
              <w:t>等</w:t>
            </w:r>
          </w:p>
        </w:tc>
        <w:tc>
          <w:tcPr>
            <w:tcW w:w="2551" w:type="pct"/>
            <w:tcBorders>
              <w:top w:val="nil"/>
              <w:left w:val="nil"/>
              <w:bottom w:val="single" w:color="auto" w:sz="4" w:space="0"/>
              <w:right w:val="single" w:color="auto" w:sz="4" w:space="0"/>
            </w:tcBorders>
            <w:shd w:val="clear" w:color="auto" w:fill="auto"/>
            <w:vAlign w:val="center"/>
          </w:tcPr>
          <w:p w14:paraId="71D3A28B">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lang w:eastAsia="zh-CN"/>
              </w:rPr>
              <w:t>拟在神州半岛建设规模约为150个泊位，干仓数80个，</w:t>
            </w:r>
            <w:r>
              <w:rPr>
                <w:rFonts w:hint="eastAsia" w:cs="仿宋_GB2312"/>
                <w:bCs/>
                <w:color w:val="auto"/>
                <w:kern w:val="0"/>
                <w:sz w:val="24"/>
                <w:szCs w:val="21"/>
                <w:lang w:val="en-US" w:eastAsia="zh-CN"/>
              </w:rPr>
              <w:t>规</w:t>
            </w:r>
            <w:r>
              <w:rPr>
                <w:rFonts w:hint="eastAsia" w:ascii="仿宋_GB2312" w:hAnsi="仿宋_GB2312" w:eastAsia="仿宋_GB2312" w:cs="仿宋_GB2312"/>
                <w:bCs/>
                <w:color w:val="auto"/>
                <w:kern w:val="0"/>
                <w:sz w:val="24"/>
                <w:szCs w:val="21"/>
                <w:lang w:eastAsia="zh-CN"/>
              </w:rPr>
              <w:t>划占用岸线长度500m，占用水域面积6万㎡，陆</w:t>
            </w:r>
            <w:r>
              <w:rPr>
                <w:rFonts w:hint="eastAsia" w:cs="仿宋_GB2312"/>
                <w:bCs/>
                <w:color w:val="auto"/>
                <w:kern w:val="0"/>
                <w:sz w:val="24"/>
                <w:szCs w:val="21"/>
                <w:lang w:val="en-US" w:eastAsia="zh-CN"/>
              </w:rPr>
              <w:t>域</w:t>
            </w:r>
            <w:r>
              <w:rPr>
                <w:rFonts w:hint="eastAsia" w:ascii="仿宋_GB2312" w:hAnsi="仿宋_GB2312" w:eastAsia="仿宋_GB2312" w:cs="仿宋_GB2312"/>
                <w:bCs/>
                <w:color w:val="auto"/>
                <w:kern w:val="0"/>
                <w:sz w:val="24"/>
                <w:szCs w:val="21"/>
                <w:lang w:eastAsia="zh-CN"/>
              </w:rPr>
              <w:t>面积1万㎡。</w:t>
            </w:r>
          </w:p>
        </w:tc>
        <w:tc>
          <w:tcPr>
            <w:tcW w:w="242" w:type="pct"/>
            <w:tcBorders>
              <w:top w:val="nil"/>
              <w:left w:val="nil"/>
              <w:bottom w:val="single" w:color="auto" w:sz="4" w:space="0"/>
              <w:right w:val="single" w:color="auto" w:sz="4" w:space="0"/>
            </w:tcBorders>
            <w:shd w:val="clear" w:color="auto" w:fill="auto"/>
            <w:vAlign w:val="center"/>
          </w:tcPr>
          <w:p w14:paraId="5DBE50DB">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新建</w:t>
            </w:r>
          </w:p>
        </w:tc>
        <w:tc>
          <w:tcPr>
            <w:tcW w:w="372" w:type="pct"/>
            <w:tcBorders>
              <w:top w:val="nil"/>
              <w:left w:val="nil"/>
              <w:bottom w:val="single" w:color="auto" w:sz="4" w:space="0"/>
              <w:right w:val="single" w:color="auto" w:sz="4" w:space="0"/>
            </w:tcBorders>
            <w:shd w:val="clear" w:color="auto" w:fill="auto"/>
            <w:vAlign w:val="center"/>
          </w:tcPr>
          <w:p w14:paraId="7880CA2A">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11000</w:t>
            </w:r>
          </w:p>
        </w:tc>
        <w:tc>
          <w:tcPr>
            <w:tcW w:w="385" w:type="pct"/>
            <w:tcBorders>
              <w:top w:val="nil"/>
              <w:left w:val="nil"/>
              <w:bottom w:val="single" w:color="auto" w:sz="4" w:space="0"/>
              <w:right w:val="single" w:color="auto" w:sz="4" w:space="0"/>
            </w:tcBorders>
            <w:shd w:val="clear" w:color="auto" w:fill="auto"/>
            <w:vAlign w:val="center"/>
          </w:tcPr>
          <w:p w14:paraId="451F7FA5">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202</w:t>
            </w:r>
            <w:r>
              <w:rPr>
                <w:rFonts w:hint="eastAsia" w:ascii="仿宋_GB2312" w:hAnsi="仿宋_GB2312" w:eastAsia="仿宋_GB2312" w:cs="仿宋_GB2312"/>
                <w:bCs/>
                <w:color w:val="auto"/>
                <w:kern w:val="0"/>
                <w:sz w:val="24"/>
                <w:szCs w:val="21"/>
                <w:lang w:val="en-US" w:eastAsia="zh-CN"/>
              </w:rPr>
              <w:t>7</w:t>
            </w:r>
            <w:r>
              <w:rPr>
                <w:rFonts w:hint="eastAsia" w:ascii="仿宋_GB2312" w:hAnsi="仿宋_GB2312" w:eastAsia="仿宋_GB2312" w:cs="仿宋_GB2312"/>
                <w:bCs/>
                <w:color w:val="auto"/>
                <w:kern w:val="0"/>
                <w:sz w:val="24"/>
                <w:szCs w:val="21"/>
              </w:rPr>
              <w:t>—20</w:t>
            </w:r>
            <w:r>
              <w:rPr>
                <w:rFonts w:hint="eastAsia" w:ascii="仿宋_GB2312" w:hAnsi="仿宋_GB2312" w:eastAsia="仿宋_GB2312" w:cs="仿宋_GB2312"/>
                <w:bCs/>
                <w:color w:val="auto"/>
                <w:kern w:val="0"/>
                <w:sz w:val="24"/>
                <w:szCs w:val="21"/>
                <w:lang w:val="en-US" w:eastAsia="zh-CN"/>
              </w:rPr>
              <w:t>29</w:t>
            </w:r>
            <w:r>
              <w:rPr>
                <w:rFonts w:hint="eastAsia" w:ascii="仿宋_GB2312" w:hAnsi="仿宋_GB2312" w:eastAsia="仿宋_GB2312" w:cs="仿宋_GB2312"/>
                <w:bCs/>
                <w:color w:val="auto"/>
                <w:kern w:val="0"/>
                <w:sz w:val="24"/>
                <w:szCs w:val="21"/>
              </w:rPr>
              <w:t>年</w:t>
            </w:r>
          </w:p>
        </w:tc>
        <w:tc>
          <w:tcPr>
            <w:tcW w:w="258" w:type="pct"/>
            <w:tcBorders>
              <w:top w:val="nil"/>
              <w:left w:val="nil"/>
              <w:bottom w:val="single" w:color="auto" w:sz="4" w:space="0"/>
              <w:right w:val="single" w:color="auto" w:sz="4" w:space="0"/>
            </w:tcBorders>
            <w:shd w:val="clear" w:color="auto" w:fill="auto"/>
            <w:vAlign w:val="center"/>
          </w:tcPr>
          <w:p w14:paraId="0EC03884">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海洋</w:t>
            </w:r>
            <w:r>
              <w:rPr>
                <w:rFonts w:hint="eastAsia" w:ascii="仿宋_GB2312" w:hAnsi="仿宋_GB2312" w:eastAsia="仿宋_GB2312" w:cs="仿宋_GB2312"/>
                <w:bCs/>
                <w:color w:val="auto"/>
                <w:kern w:val="0"/>
                <w:sz w:val="24"/>
                <w:szCs w:val="21"/>
              </w:rPr>
              <w:t>旅游</w:t>
            </w:r>
          </w:p>
        </w:tc>
      </w:tr>
      <w:tr w14:paraId="67A803A8">
        <w:tblPrEx>
          <w:tblCellMar>
            <w:top w:w="0" w:type="dxa"/>
            <w:left w:w="108" w:type="dxa"/>
            <w:bottom w:w="0" w:type="dxa"/>
            <w:right w:w="108" w:type="dxa"/>
          </w:tblCellMar>
        </w:tblPrEx>
        <w:trPr>
          <w:trHeight w:val="597" w:hRule="atLeast"/>
        </w:trPr>
        <w:tc>
          <w:tcPr>
            <w:tcW w:w="3740" w:type="pct"/>
            <w:gridSpan w:val="4"/>
            <w:tcBorders>
              <w:top w:val="nil"/>
              <w:left w:val="single" w:color="auto" w:sz="4" w:space="0"/>
              <w:bottom w:val="single" w:color="auto" w:sz="4" w:space="0"/>
              <w:right w:val="single" w:color="auto" w:sz="4" w:space="0"/>
            </w:tcBorders>
            <w:shd w:val="clear" w:color="000000" w:fill="FFFFFF"/>
            <w:vAlign w:val="center"/>
          </w:tcPr>
          <w:p w14:paraId="21B63F8B">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
                <w:color w:val="auto"/>
                <w:kern w:val="0"/>
                <w:sz w:val="24"/>
                <w:szCs w:val="21"/>
              </w:rPr>
              <w:t>总投资额</w:t>
            </w:r>
          </w:p>
        </w:tc>
        <w:tc>
          <w:tcPr>
            <w:tcW w:w="1259" w:type="pct"/>
            <w:gridSpan w:val="4"/>
            <w:tcBorders>
              <w:top w:val="nil"/>
              <w:left w:val="nil"/>
              <w:bottom w:val="single" w:color="auto" w:sz="4" w:space="0"/>
              <w:right w:val="single" w:color="auto" w:sz="4" w:space="0"/>
            </w:tcBorders>
            <w:shd w:val="clear" w:color="auto" w:fill="auto"/>
            <w:vAlign w:val="center"/>
          </w:tcPr>
          <w:p w14:paraId="636683FF">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cs="仿宋_GB2312"/>
                <w:b/>
                <w:color w:val="auto"/>
                <w:kern w:val="0"/>
                <w:sz w:val="24"/>
                <w:szCs w:val="21"/>
              </w:rPr>
              <w:t>1630709.74</w:t>
            </w:r>
            <w:r>
              <w:rPr>
                <w:rFonts w:hint="eastAsia" w:ascii="仿宋_GB2312" w:hAnsi="仿宋_GB2312" w:eastAsia="仿宋_GB2312" w:cs="仿宋_GB2312"/>
                <w:b/>
                <w:bCs w:val="0"/>
                <w:color w:val="auto"/>
                <w:kern w:val="0"/>
                <w:sz w:val="24"/>
                <w:szCs w:val="21"/>
              </w:rPr>
              <w:t>万元</w:t>
            </w:r>
          </w:p>
        </w:tc>
      </w:tr>
    </w:tbl>
    <w:p w14:paraId="17BE6B47">
      <w:pPr>
        <w:ind w:left="0" w:leftChars="0" w:firstLine="0" w:firstLineChars="0"/>
      </w:pPr>
    </w:p>
    <w:p w14:paraId="78C09AD6"/>
    <w:sectPr>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0CFA06-D1C8-42D4-8570-55B3E45CE9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19E1706-61E4-462D-9DFA-26DE83F21A86}"/>
  </w:font>
  <w:font w:name="楷体">
    <w:panose1 w:val="02010609060101010101"/>
    <w:charset w:val="86"/>
    <w:family w:val="modern"/>
    <w:pitch w:val="default"/>
    <w:sig w:usb0="800002BF" w:usb1="38CF7CFA" w:usb2="00000016" w:usb3="00000000" w:csb0="00040001" w:csb1="00000000"/>
    <w:embedRegular r:id="rId3" w:fontKey="{1F3A2D94-8CF1-4E14-B921-50BE20D02EEC}"/>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4" w:fontKey="{20B1BA45-1630-43EA-9100-2D4F91F53CB2}"/>
  </w:font>
  <w:font w:name="方正小标宋简体">
    <w:panose1 w:val="02000000000000000000"/>
    <w:charset w:val="86"/>
    <w:family w:val="auto"/>
    <w:pitch w:val="default"/>
    <w:sig w:usb0="00000001" w:usb1="08000000" w:usb2="00000000" w:usb3="00000000" w:csb0="00040000" w:csb1="00000000"/>
    <w:embedRegular r:id="rId5" w:fontKey="{FB6B10FA-020B-4D6C-83BF-D4B9CE5A7C22}"/>
  </w:font>
  <w:font w:name="WPSEMBED2">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WPSEMBED3">
    <w:panose1 w:val="02000000000000000000"/>
    <w:charset w:val="86"/>
    <w:family w:val="auto"/>
    <w:pitch w:val="default"/>
    <w:sig w:usb0="00000001" w:usb1="08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9121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25B004">
                          <w:pPr>
                            <w:pStyle w:val="7"/>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- 1 -</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925B004">
                    <w:pPr>
                      <w:pStyle w:val="7"/>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- 1 -</w:t>
                    </w:r>
                    <w:r>
                      <w:rPr>
                        <w:rFonts w:ascii="Times New Roman" w:hAnsi="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299C4">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DDD85">
                          <w:pPr>
                            <w:pStyle w:val="7"/>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- 1 -</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B4DDD85">
                    <w:pPr>
                      <w:pStyle w:val="7"/>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- 1 -</w:t>
                    </w:r>
                    <w:r>
                      <w:rPr>
                        <w:rFonts w:ascii="Times New Roman" w:hAnsi="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ind w:firstLine="640"/>
      </w:pPr>
      <w:r>
        <w:separator/>
      </w:r>
    </w:p>
  </w:footnote>
  <w:footnote w:type="continuationSeparator" w:id="5">
    <w:p>
      <w:pPr>
        <w:spacing w:line="240" w:lineRule="auto"/>
        <w:ind w:firstLine="640"/>
      </w:pPr>
      <w:r>
        <w:continuationSeparator/>
      </w:r>
    </w:p>
  </w:footnote>
  <w:footnote w:id="0">
    <w:p w14:paraId="23B6DCE1">
      <w:pPr>
        <w:widowControl w:val="0"/>
        <w:snapToGrid w:val="0"/>
        <w:spacing w:line="240" w:lineRule="auto"/>
        <w:ind w:firstLine="0" w:firstLineChars="0"/>
        <w:jc w:val="both"/>
        <w:rPr>
          <w:rFonts w:hint="default"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t>[</w:t>
      </w:r>
      <w:r>
        <w:rPr>
          <w:rFonts w:hint="eastAsia" w:ascii="Times New Roman" w:hAnsi="Times New Roman" w:eastAsia="仿宋_GB2312" w:cs="Times New Roman"/>
          <w:kern w:val="2"/>
          <w:sz w:val="18"/>
          <w:szCs w:val="24"/>
          <w:lang w:val="en-US" w:eastAsia="zh-CN" w:bidi="ar-SA"/>
        </w:rPr>
        <w:footnoteRef/>
      </w:r>
      <w:r>
        <w:rPr>
          <w:rFonts w:hint="eastAsia" w:ascii="Times New Roman" w:hAnsi="Times New Roman" w:eastAsia="仿宋_GB2312" w:cs="Times New Roman"/>
          <w:kern w:val="2"/>
          <w:sz w:val="18"/>
          <w:szCs w:val="24"/>
          <w:lang w:val="en-US" w:eastAsia="zh-CN" w:bidi="ar-SA"/>
        </w:rPr>
        <w:t>] 依据《万宁市游艇码头布局规划（2023-2035年）》将万宁游艇规划为“一心三核多节点”的分层次游艇码头总体布局体系。其中“一心”指石梅湾游艇码头；“三核”指日月湾、老爷海、神州半岛游艇码头；“多节点”指龙滚河口、港北、小海、太阳河口游艇码头。</w:t>
      </w:r>
    </w:p>
  </w:footnote>
  <w:footnote w:id="1">
    <w:p w14:paraId="2F1F717C">
      <w:pPr>
        <w:widowControl w:val="0"/>
        <w:snapToGrid w:val="0"/>
        <w:spacing w:line="240" w:lineRule="auto"/>
        <w:ind w:left="0" w:leftChars="0" w:firstLine="0" w:firstLineChars="0"/>
        <w:jc w:val="both"/>
        <w:rPr>
          <w:rFonts w:hint="default" w:ascii="Times New Roman" w:hAnsi="Times New Roman" w:eastAsia="仿宋_GB2312" w:cs="Times New Roman"/>
          <w:kern w:val="2"/>
          <w:sz w:val="18"/>
          <w:szCs w:val="24"/>
          <w:lang w:val="en-US" w:eastAsia="zh-CN" w:bidi="ar-SA"/>
        </w:rPr>
      </w:pPr>
      <w:r>
        <w:rPr>
          <w:rFonts w:hint="eastAsia" w:ascii="Times New Roman" w:hAnsi="Times New Roman" w:eastAsia="仿宋_GB2312" w:cs="Times New Roman"/>
          <w:kern w:val="2"/>
          <w:sz w:val="18"/>
          <w:szCs w:val="24"/>
          <w:lang w:val="en-US" w:eastAsia="zh-CN" w:bidi="ar-SA"/>
        </w:rPr>
        <w:t>[</w:t>
      </w:r>
      <w:r>
        <w:rPr>
          <w:rFonts w:hint="eastAsia" w:ascii="Times New Roman" w:hAnsi="Times New Roman" w:eastAsia="仿宋_GB2312" w:cs="Times New Roman"/>
          <w:kern w:val="2"/>
          <w:sz w:val="18"/>
          <w:szCs w:val="24"/>
          <w:lang w:val="en-US" w:eastAsia="zh-CN" w:bidi="ar-SA"/>
        </w:rPr>
        <w:footnoteRef/>
      </w:r>
      <w:r>
        <w:rPr>
          <w:rFonts w:hint="eastAsia" w:ascii="Times New Roman" w:hAnsi="Times New Roman" w:eastAsia="仿宋_GB2312" w:cs="Times New Roman"/>
          <w:kern w:val="2"/>
          <w:sz w:val="18"/>
          <w:szCs w:val="24"/>
          <w:lang w:val="en-US" w:eastAsia="zh-CN" w:bidi="ar-SA"/>
        </w:rPr>
        <w:t>] “一中心三基地”：国家水上（海上）国民休闲运动中心、国家冲浪训练基地、国家潜水南方训练基地、国家摩托艇南方训练基地。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C538F">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AE5F1"/>
    <w:multiLevelType w:val="multilevel"/>
    <w:tmpl w:val="E75AE5F1"/>
    <w:lvl w:ilvl="0" w:tentative="0">
      <w:start w:val="1"/>
      <w:numFmt w:val="decimal"/>
      <w:pStyle w:val="22"/>
      <w:lvlText w:val="专栏%1"/>
      <w:lvlJc w:val="left"/>
      <w:pPr>
        <w:tabs>
          <w:tab w:val="left" w:pos="420"/>
        </w:tabs>
        <w:ind w:left="425" w:hanging="425"/>
      </w:pPr>
      <w:rPr>
        <w:rFonts w:hint="default" w:ascii="黑体" w:hAnsi="黑体" w:eastAsia="黑体" w:cs="黑体"/>
        <w:b w:val="0"/>
        <w:bCs w:val="0"/>
        <w:sz w:val="30"/>
        <w:szCs w:val="30"/>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67410"/>
    <w:rsid w:val="00986C8E"/>
    <w:rsid w:val="01136461"/>
    <w:rsid w:val="0213766F"/>
    <w:rsid w:val="02C46459"/>
    <w:rsid w:val="035D3297"/>
    <w:rsid w:val="03757E97"/>
    <w:rsid w:val="038A3960"/>
    <w:rsid w:val="04221DEB"/>
    <w:rsid w:val="044A6AAC"/>
    <w:rsid w:val="05675BA4"/>
    <w:rsid w:val="05882122"/>
    <w:rsid w:val="05B0780D"/>
    <w:rsid w:val="068264EF"/>
    <w:rsid w:val="06855BB9"/>
    <w:rsid w:val="068D5729"/>
    <w:rsid w:val="06E37179"/>
    <w:rsid w:val="06F86E33"/>
    <w:rsid w:val="076170CE"/>
    <w:rsid w:val="077E37DC"/>
    <w:rsid w:val="082A74C0"/>
    <w:rsid w:val="082D324E"/>
    <w:rsid w:val="08346591"/>
    <w:rsid w:val="08A13C26"/>
    <w:rsid w:val="08BA6A96"/>
    <w:rsid w:val="091E2CA9"/>
    <w:rsid w:val="09513B8B"/>
    <w:rsid w:val="09657129"/>
    <w:rsid w:val="096F57B7"/>
    <w:rsid w:val="09E33DCA"/>
    <w:rsid w:val="09F713D9"/>
    <w:rsid w:val="0A0C4F72"/>
    <w:rsid w:val="0A9954AD"/>
    <w:rsid w:val="0A9F5CC5"/>
    <w:rsid w:val="0B1D4465"/>
    <w:rsid w:val="0BB93035"/>
    <w:rsid w:val="0BCF2858"/>
    <w:rsid w:val="0C461E0C"/>
    <w:rsid w:val="0CB358A1"/>
    <w:rsid w:val="0CCC323C"/>
    <w:rsid w:val="0CE05A4E"/>
    <w:rsid w:val="0D636406"/>
    <w:rsid w:val="0E292C4D"/>
    <w:rsid w:val="0E3966AF"/>
    <w:rsid w:val="0E696E47"/>
    <w:rsid w:val="0EB5357B"/>
    <w:rsid w:val="0EB9334C"/>
    <w:rsid w:val="0EF97BEC"/>
    <w:rsid w:val="0F274759"/>
    <w:rsid w:val="0FAB5B16"/>
    <w:rsid w:val="100C5AF9"/>
    <w:rsid w:val="10831E63"/>
    <w:rsid w:val="113849FC"/>
    <w:rsid w:val="117A3266"/>
    <w:rsid w:val="11D87602"/>
    <w:rsid w:val="123E42F4"/>
    <w:rsid w:val="12A460C1"/>
    <w:rsid w:val="12B91B6C"/>
    <w:rsid w:val="12BC165D"/>
    <w:rsid w:val="12F232D0"/>
    <w:rsid w:val="13156C8D"/>
    <w:rsid w:val="1319085D"/>
    <w:rsid w:val="13357DBD"/>
    <w:rsid w:val="138B1BE7"/>
    <w:rsid w:val="13916645"/>
    <w:rsid w:val="14691B4B"/>
    <w:rsid w:val="14787805"/>
    <w:rsid w:val="148F5D32"/>
    <w:rsid w:val="14B53938"/>
    <w:rsid w:val="14C667C2"/>
    <w:rsid w:val="15412FEE"/>
    <w:rsid w:val="155E4C4D"/>
    <w:rsid w:val="15E93B6C"/>
    <w:rsid w:val="15FD7FC2"/>
    <w:rsid w:val="17620A24"/>
    <w:rsid w:val="17926F0C"/>
    <w:rsid w:val="17A801CE"/>
    <w:rsid w:val="17B844E8"/>
    <w:rsid w:val="17D000F2"/>
    <w:rsid w:val="1829588E"/>
    <w:rsid w:val="185235F4"/>
    <w:rsid w:val="18925339"/>
    <w:rsid w:val="18EE62D7"/>
    <w:rsid w:val="190D676E"/>
    <w:rsid w:val="197607B7"/>
    <w:rsid w:val="198C44C4"/>
    <w:rsid w:val="19AC242B"/>
    <w:rsid w:val="19C44F95"/>
    <w:rsid w:val="1A16195D"/>
    <w:rsid w:val="1A4E5290"/>
    <w:rsid w:val="1A646862"/>
    <w:rsid w:val="1A670100"/>
    <w:rsid w:val="1AA2738A"/>
    <w:rsid w:val="1B83540D"/>
    <w:rsid w:val="1B851185"/>
    <w:rsid w:val="1C164489"/>
    <w:rsid w:val="1C420E24"/>
    <w:rsid w:val="1C744D56"/>
    <w:rsid w:val="1CE4737F"/>
    <w:rsid w:val="1DDE2DCF"/>
    <w:rsid w:val="1E2F6933"/>
    <w:rsid w:val="1E450A31"/>
    <w:rsid w:val="1E4F15D7"/>
    <w:rsid w:val="1E846C1E"/>
    <w:rsid w:val="1E8F0AF5"/>
    <w:rsid w:val="1E965458"/>
    <w:rsid w:val="1F8B3432"/>
    <w:rsid w:val="1F8F4381"/>
    <w:rsid w:val="1FB504D3"/>
    <w:rsid w:val="204A474C"/>
    <w:rsid w:val="204F58BE"/>
    <w:rsid w:val="212041A8"/>
    <w:rsid w:val="21254871"/>
    <w:rsid w:val="22237002"/>
    <w:rsid w:val="22680EB9"/>
    <w:rsid w:val="229E5F4B"/>
    <w:rsid w:val="22DE117B"/>
    <w:rsid w:val="22FD3CF7"/>
    <w:rsid w:val="230010F2"/>
    <w:rsid w:val="233151F4"/>
    <w:rsid w:val="23735D67"/>
    <w:rsid w:val="24AA57B9"/>
    <w:rsid w:val="24AC7783"/>
    <w:rsid w:val="24CE34DB"/>
    <w:rsid w:val="24DE36B4"/>
    <w:rsid w:val="2565101F"/>
    <w:rsid w:val="265359DC"/>
    <w:rsid w:val="26D92385"/>
    <w:rsid w:val="26FF3DAE"/>
    <w:rsid w:val="27F70AF7"/>
    <w:rsid w:val="28684089"/>
    <w:rsid w:val="289724F8"/>
    <w:rsid w:val="28A35BE6"/>
    <w:rsid w:val="28BE1833"/>
    <w:rsid w:val="298E56A9"/>
    <w:rsid w:val="29916F47"/>
    <w:rsid w:val="2A4A1D43"/>
    <w:rsid w:val="2A4D10C0"/>
    <w:rsid w:val="2AD37BB1"/>
    <w:rsid w:val="2AEF3F25"/>
    <w:rsid w:val="2B0465FE"/>
    <w:rsid w:val="2B2F6A18"/>
    <w:rsid w:val="2B801021"/>
    <w:rsid w:val="2C047EA4"/>
    <w:rsid w:val="2C11611D"/>
    <w:rsid w:val="2C175D66"/>
    <w:rsid w:val="2D35408E"/>
    <w:rsid w:val="2D9E60D7"/>
    <w:rsid w:val="2E8C5F2F"/>
    <w:rsid w:val="2EC76DCE"/>
    <w:rsid w:val="2F412617"/>
    <w:rsid w:val="2F5729E1"/>
    <w:rsid w:val="2F754C15"/>
    <w:rsid w:val="2FBC7EBB"/>
    <w:rsid w:val="2FD7142C"/>
    <w:rsid w:val="30CB2D3F"/>
    <w:rsid w:val="30E97669"/>
    <w:rsid w:val="316F5F2C"/>
    <w:rsid w:val="31B8127E"/>
    <w:rsid w:val="320504D2"/>
    <w:rsid w:val="322E7A29"/>
    <w:rsid w:val="32DA64AC"/>
    <w:rsid w:val="32EE540A"/>
    <w:rsid w:val="331A7FAD"/>
    <w:rsid w:val="33BF2903"/>
    <w:rsid w:val="343933C8"/>
    <w:rsid w:val="350D601C"/>
    <w:rsid w:val="352A5976"/>
    <w:rsid w:val="35551771"/>
    <w:rsid w:val="361E1B63"/>
    <w:rsid w:val="36581EF8"/>
    <w:rsid w:val="37607F59"/>
    <w:rsid w:val="376F6772"/>
    <w:rsid w:val="379D2F5B"/>
    <w:rsid w:val="37A42521"/>
    <w:rsid w:val="37C46192"/>
    <w:rsid w:val="384358B1"/>
    <w:rsid w:val="39532F35"/>
    <w:rsid w:val="397B283E"/>
    <w:rsid w:val="399D5494"/>
    <w:rsid w:val="39BD78E5"/>
    <w:rsid w:val="39C5508A"/>
    <w:rsid w:val="3A125E82"/>
    <w:rsid w:val="3A1658F4"/>
    <w:rsid w:val="3A8643F5"/>
    <w:rsid w:val="3B037579"/>
    <w:rsid w:val="3B1D063B"/>
    <w:rsid w:val="3B611527"/>
    <w:rsid w:val="3B82183B"/>
    <w:rsid w:val="3C164699"/>
    <w:rsid w:val="3C785AF7"/>
    <w:rsid w:val="3C8D17F0"/>
    <w:rsid w:val="3C914C29"/>
    <w:rsid w:val="3D545EF2"/>
    <w:rsid w:val="3DA212CB"/>
    <w:rsid w:val="3DC8348E"/>
    <w:rsid w:val="3DEB7C2A"/>
    <w:rsid w:val="3DEC12ED"/>
    <w:rsid w:val="3E155F41"/>
    <w:rsid w:val="3E2C53F7"/>
    <w:rsid w:val="3F497763"/>
    <w:rsid w:val="3F4A39C9"/>
    <w:rsid w:val="3FC217B1"/>
    <w:rsid w:val="408D0011"/>
    <w:rsid w:val="409475F1"/>
    <w:rsid w:val="40AF1373"/>
    <w:rsid w:val="40B03191"/>
    <w:rsid w:val="40EE174C"/>
    <w:rsid w:val="40FB141E"/>
    <w:rsid w:val="41F9130B"/>
    <w:rsid w:val="423170C2"/>
    <w:rsid w:val="43217136"/>
    <w:rsid w:val="435624FA"/>
    <w:rsid w:val="437B232A"/>
    <w:rsid w:val="43882D11"/>
    <w:rsid w:val="45522F18"/>
    <w:rsid w:val="45A66158"/>
    <w:rsid w:val="45E701C3"/>
    <w:rsid w:val="462C3E28"/>
    <w:rsid w:val="46603AD2"/>
    <w:rsid w:val="466B2BA2"/>
    <w:rsid w:val="466C2476"/>
    <w:rsid w:val="47571378"/>
    <w:rsid w:val="479A3013"/>
    <w:rsid w:val="47F57A64"/>
    <w:rsid w:val="48B32E34"/>
    <w:rsid w:val="48B73597"/>
    <w:rsid w:val="4950607F"/>
    <w:rsid w:val="495F2991"/>
    <w:rsid w:val="49D45120"/>
    <w:rsid w:val="4A0B1FA6"/>
    <w:rsid w:val="4AA003D1"/>
    <w:rsid w:val="4B692C1A"/>
    <w:rsid w:val="4BB87F0C"/>
    <w:rsid w:val="4BF544F0"/>
    <w:rsid w:val="4C822D93"/>
    <w:rsid w:val="4CED5F36"/>
    <w:rsid w:val="4D185106"/>
    <w:rsid w:val="4D2A729E"/>
    <w:rsid w:val="4D90400D"/>
    <w:rsid w:val="4DD23507"/>
    <w:rsid w:val="4E1C29D4"/>
    <w:rsid w:val="4EC03E3C"/>
    <w:rsid w:val="4F6C1739"/>
    <w:rsid w:val="4FA21BB6"/>
    <w:rsid w:val="50516B54"/>
    <w:rsid w:val="50832EE6"/>
    <w:rsid w:val="50A03D28"/>
    <w:rsid w:val="513B5867"/>
    <w:rsid w:val="51C0719E"/>
    <w:rsid w:val="51D22B49"/>
    <w:rsid w:val="51DA0BDC"/>
    <w:rsid w:val="523E1DC0"/>
    <w:rsid w:val="5268443A"/>
    <w:rsid w:val="53643919"/>
    <w:rsid w:val="53C02053"/>
    <w:rsid w:val="541505F1"/>
    <w:rsid w:val="54890E18"/>
    <w:rsid w:val="55200FFC"/>
    <w:rsid w:val="553330E4"/>
    <w:rsid w:val="559B2D78"/>
    <w:rsid w:val="55C776C9"/>
    <w:rsid w:val="55DE48C1"/>
    <w:rsid w:val="55FB55C5"/>
    <w:rsid w:val="56E60023"/>
    <w:rsid w:val="56FB1D20"/>
    <w:rsid w:val="57A53A3A"/>
    <w:rsid w:val="57D30CF6"/>
    <w:rsid w:val="57E200A3"/>
    <w:rsid w:val="58E56C6E"/>
    <w:rsid w:val="594D6137"/>
    <w:rsid w:val="5A4C4641"/>
    <w:rsid w:val="5A6E45B7"/>
    <w:rsid w:val="5A7F40FD"/>
    <w:rsid w:val="5AD14B46"/>
    <w:rsid w:val="5CCD060C"/>
    <w:rsid w:val="5D3A58AF"/>
    <w:rsid w:val="5DF94AE0"/>
    <w:rsid w:val="5EAE2DB0"/>
    <w:rsid w:val="5F7316DF"/>
    <w:rsid w:val="5FA32F55"/>
    <w:rsid w:val="5FE75A99"/>
    <w:rsid w:val="604364E6"/>
    <w:rsid w:val="60C27AD9"/>
    <w:rsid w:val="61291238"/>
    <w:rsid w:val="612C6F7A"/>
    <w:rsid w:val="61573FF7"/>
    <w:rsid w:val="622F0AD0"/>
    <w:rsid w:val="62330835"/>
    <w:rsid w:val="626F5370"/>
    <w:rsid w:val="62A465C7"/>
    <w:rsid w:val="634C56B2"/>
    <w:rsid w:val="639C03E7"/>
    <w:rsid w:val="63A92B04"/>
    <w:rsid w:val="644F7208"/>
    <w:rsid w:val="645F0D81"/>
    <w:rsid w:val="65150451"/>
    <w:rsid w:val="65CC29BF"/>
    <w:rsid w:val="65EA193C"/>
    <w:rsid w:val="665C3E5E"/>
    <w:rsid w:val="66E0683D"/>
    <w:rsid w:val="67516E5B"/>
    <w:rsid w:val="677D22DE"/>
    <w:rsid w:val="68093DC8"/>
    <w:rsid w:val="68B43ADD"/>
    <w:rsid w:val="68EA215E"/>
    <w:rsid w:val="694F3806"/>
    <w:rsid w:val="6A863F51"/>
    <w:rsid w:val="6A9242F2"/>
    <w:rsid w:val="6B0874AC"/>
    <w:rsid w:val="6B20545A"/>
    <w:rsid w:val="6B45577E"/>
    <w:rsid w:val="6B5050B8"/>
    <w:rsid w:val="6BDA16CA"/>
    <w:rsid w:val="6C0E1756"/>
    <w:rsid w:val="6C6D2921"/>
    <w:rsid w:val="6C733CAF"/>
    <w:rsid w:val="6D3671B7"/>
    <w:rsid w:val="6D3B54B5"/>
    <w:rsid w:val="6DC31233"/>
    <w:rsid w:val="6DE07122"/>
    <w:rsid w:val="6E1F50EF"/>
    <w:rsid w:val="6E6F467F"/>
    <w:rsid w:val="6EE80652"/>
    <w:rsid w:val="6F3F2702"/>
    <w:rsid w:val="6F5A2F04"/>
    <w:rsid w:val="702F4391"/>
    <w:rsid w:val="70695A07"/>
    <w:rsid w:val="70A0211B"/>
    <w:rsid w:val="70C76378"/>
    <w:rsid w:val="70F96E79"/>
    <w:rsid w:val="71327C95"/>
    <w:rsid w:val="716E68F7"/>
    <w:rsid w:val="723E08BB"/>
    <w:rsid w:val="72AF5315"/>
    <w:rsid w:val="72B81A12"/>
    <w:rsid w:val="72C01767"/>
    <w:rsid w:val="72D229A4"/>
    <w:rsid w:val="7315786E"/>
    <w:rsid w:val="736600CA"/>
    <w:rsid w:val="738D4A29"/>
    <w:rsid w:val="7447614D"/>
    <w:rsid w:val="74A4534E"/>
    <w:rsid w:val="75AB6268"/>
    <w:rsid w:val="75E579CC"/>
    <w:rsid w:val="763543D0"/>
    <w:rsid w:val="7671125F"/>
    <w:rsid w:val="76A038F3"/>
    <w:rsid w:val="76B722CB"/>
    <w:rsid w:val="76DB2B7D"/>
    <w:rsid w:val="779106B9"/>
    <w:rsid w:val="78B71812"/>
    <w:rsid w:val="790520F8"/>
    <w:rsid w:val="793F490B"/>
    <w:rsid w:val="796B5C77"/>
    <w:rsid w:val="79AF51D8"/>
    <w:rsid w:val="79B42AF3"/>
    <w:rsid w:val="7A124B07"/>
    <w:rsid w:val="7A9279F6"/>
    <w:rsid w:val="7AD16771"/>
    <w:rsid w:val="7B49471D"/>
    <w:rsid w:val="7BEB3862"/>
    <w:rsid w:val="7C18217D"/>
    <w:rsid w:val="7C1F175E"/>
    <w:rsid w:val="7CE33D39"/>
    <w:rsid w:val="7D33726F"/>
    <w:rsid w:val="7E2D0162"/>
    <w:rsid w:val="7E4019EA"/>
    <w:rsid w:val="7E747B3F"/>
    <w:rsid w:val="7EC16E5D"/>
    <w:rsid w:val="7F111831"/>
    <w:rsid w:val="7FA53D92"/>
    <w:rsid w:val="7FBB354B"/>
    <w:rsid w:val="7FD70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qFormat/>
    <w:uiPriority w:val="9"/>
    <w:pPr>
      <w:keepNext/>
      <w:keepLines/>
      <w:widowControl w:val="0"/>
      <w:spacing w:after="20" w:afterLines="20" w:line="640" w:lineRule="exact"/>
      <w:ind w:firstLine="1044" w:firstLineChars="200"/>
      <w:jc w:val="both"/>
      <w:outlineLvl w:val="0"/>
    </w:pPr>
    <w:rPr>
      <w:rFonts w:ascii="黑体" w:hAnsi="黑体" w:eastAsia="黑体" w:cs="Times New Roman"/>
      <w:bCs/>
      <w:kern w:val="44"/>
      <w:sz w:val="32"/>
      <w:szCs w:val="44"/>
      <w:lang w:val="en-US" w:eastAsia="zh-CN" w:bidi="ar-SA"/>
    </w:rPr>
  </w:style>
  <w:style w:type="paragraph" w:styleId="3">
    <w:name w:val="heading 2"/>
    <w:basedOn w:val="1"/>
    <w:next w:val="1"/>
    <w:unhideWhenUsed/>
    <w:qFormat/>
    <w:uiPriority w:val="9"/>
    <w:pPr>
      <w:widowControl/>
      <w:tabs>
        <w:tab w:val="left" w:pos="0"/>
      </w:tabs>
      <w:adjustRightInd w:val="0"/>
      <w:spacing w:before="20" w:beforeLines="20" w:after="30" w:afterLines="30" w:line="640" w:lineRule="exact"/>
      <w:ind w:firstLine="880" w:firstLineChars="200"/>
      <w:jc w:val="both"/>
      <w:outlineLvl w:val="1"/>
    </w:pPr>
    <w:rPr>
      <w:rFonts w:ascii="楷体" w:hAnsi="楷体" w:eastAsia="黑体" w:cstheme="majorBidi"/>
      <w:bCs/>
      <w:kern w:val="2"/>
      <w:sz w:val="32"/>
      <w:szCs w:val="32"/>
      <w:lang w:val="en-US" w:eastAsia="zh-CN" w:bidi="ar-SA"/>
    </w:rPr>
  </w:style>
  <w:style w:type="paragraph" w:styleId="4">
    <w:name w:val="heading 3"/>
    <w:basedOn w:val="1"/>
    <w:next w:val="1"/>
    <w:qFormat/>
    <w:uiPriority w:val="9"/>
    <w:pPr>
      <w:keepNext/>
      <w:keepLines/>
      <w:widowControl w:val="0"/>
      <w:tabs>
        <w:tab w:val="left" w:pos="40"/>
      </w:tabs>
      <w:adjustRightInd w:val="0"/>
      <w:spacing w:line="640" w:lineRule="exact"/>
      <w:ind w:firstLine="778" w:firstLineChars="149"/>
      <w:jc w:val="left"/>
      <w:textAlignment w:val="baseline"/>
      <w:outlineLvl w:val="2"/>
    </w:pPr>
    <w:rPr>
      <w:rFonts w:ascii="Times New Roman" w:hAnsi="Times New Roman" w:eastAsia="楷体" w:cs="Times New Roman"/>
      <w:b/>
      <w:kern w:val="2"/>
      <w:sz w:val="32"/>
      <w:szCs w:val="3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next w:val="6"/>
    <w:unhideWhenUsed/>
    <w:qFormat/>
    <w:uiPriority w:val="99"/>
    <w:pPr>
      <w:widowControl/>
      <w:spacing w:line="360" w:lineRule="auto"/>
      <w:ind w:left="200" w:leftChars="200" w:firstLine="200" w:firstLineChars="200"/>
      <w:jc w:val="left"/>
    </w:pPr>
    <w:rPr>
      <w:rFonts w:hint="eastAsia" w:ascii="仿宋_GB2312" w:hAnsi="仿宋_GB2312" w:eastAsia="仿宋_GB2312" w:cs="Times New Roman"/>
      <w:kern w:val="0"/>
      <w:sz w:val="32"/>
      <w:szCs w:val="20"/>
      <w:lang w:val="en-US" w:eastAsia="zh-CN" w:bidi="ar-SA"/>
    </w:rPr>
  </w:style>
  <w:style w:type="paragraph" w:styleId="6">
    <w:name w:val="toc 2"/>
    <w:basedOn w:val="1"/>
    <w:next w:val="1"/>
    <w:qFormat/>
    <w:uiPriority w:val="39"/>
    <w:pPr>
      <w:widowControl w:val="0"/>
      <w:spacing w:line="560" w:lineRule="exact"/>
      <w:ind w:left="420" w:leftChars="200" w:firstLine="880" w:firstLineChars="200"/>
      <w:jc w:val="both"/>
    </w:pPr>
    <w:rPr>
      <w:rFonts w:ascii="仿宋_GB2312" w:hAnsi="仿宋_GB2312" w:eastAsia="仿宋_GB2312" w:cs="Times New Roman"/>
      <w:kern w:val="2"/>
      <w:sz w:val="32"/>
      <w:szCs w:val="24"/>
      <w:lang w:val="en-US" w:eastAsia="zh-CN" w:bidi="ar-SA"/>
    </w:rPr>
  </w:style>
  <w:style w:type="paragraph" w:styleId="7">
    <w:name w:val="footer"/>
    <w:qFormat/>
    <w:uiPriority w:val="99"/>
    <w:pPr>
      <w:widowControl w:val="0"/>
      <w:tabs>
        <w:tab w:val="center" w:pos="4153"/>
        <w:tab w:val="right" w:pos="8306"/>
      </w:tabs>
      <w:snapToGrid w:val="0"/>
      <w:spacing w:line="560" w:lineRule="exact"/>
      <w:ind w:firstLine="0" w:firstLineChars="0"/>
      <w:jc w:val="center"/>
    </w:pPr>
    <w:rPr>
      <w:rFonts w:ascii="仿宋_GB2312" w:hAnsi="仿宋_GB2312" w:eastAsia="仿宋_GB2312" w:cs="Times New Roman"/>
      <w:kern w:val="2"/>
      <w:sz w:val="24"/>
      <w:szCs w:val="18"/>
      <w:lang w:val="en-US" w:eastAsia="zh-CN" w:bidi="ar-SA"/>
    </w:rPr>
  </w:style>
  <w:style w:type="paragraph" w:styleId="8">
    <w:name w:val="toc 1"/>
    <w:basedOn w:val="1"/>
    <w:next w:val="1"/>
    <w:qFormat/>
    <w:uiPriority w:val="39"/>
    <w:pPr>
      <w:widowControl w:val="0"/>
      <w:spacing w:line="560" w:lineRule="exact"/>
      <w:ind w:firstLine="880" w:firstLineChars="200"/>
      <w:jc w:val="both"/>
    </w:pPr>
    <w:rPr>
      <w:rFonts w:ascii="黑体" w:hAnsi="黑体" w:eastAsia="仿宋_GB2312" w:cs="Times New Roman"/>
      <w:kern w:val="2"/>
      <w:sz w:val="32"/>
      <w:szCs w:val="24"/>
      <w:lang w:val="en-US" w:eastAsia="zh-CN" w:bidi="ar-SA"/>
    </w:rPr>
  </w:style>
  <w:style w:type="paragraph" w:styleId="9">
    <w:name w:val="footnote text"/>
    <w:basedOn w:val="1"/>
    <w:qFormat/>
    <w:uiPriority w:val="0"/>
    <w:pPr>
      <w:widowControl w:val="0"/>
      <w:snapToGrid w:val="0"/>
      <w:spacing w:line="240" w:lineRule="auto"/>
      <w:ind w:firstLine="880" w:firstLineChars="200"/>
      <w:jc w:val="both"/>
    </w:pPr>
    <w:rPr>
      <w:rFonts w:ascii="Calibri" w:hAnsi="Calibri" w:eastAsia="仿宋" w:cs="Times New Roman"/>
      <w:kern w:val="2"/>
      <w:sz w:val="18"/>
      <w:szCs w:val="18"/>
      <w:lang w:val="en-US" w:eastAsia="zh-CN" w:bidi="ar-SA"/>
    </w:rPr>
  </w:style>
  <w:style w:type="paragraph" w:styleId="10">
    <w:name w:val="Normal (Web)"/>
    <w:basedOn w:val="1"/>
    <w:qFormat/>
    <w:uiPriority w:val="0"/>
    <w:pPr>
      <w:widowControl w:val="0"/>
      <w:spacing w:beforeAutospacing="1" w:afterAutospacing="1" w:line="560" w:lineRule="exact"/>
      <w:ind w:firstLine="880" w:firstLineChars="200"/>
      <w:jc w:val="left"/>
    </w:pPr>
    <w:rPr>
      <w:rFonts w:ascii="仿宋_GB2312" w:hAnsi="仿宋_GB2312" w:eastAsia="仿宋_GB2312" w:cs="Times New Roman"/>
      <w:kern w:val="0"/>
      <w:sz w:val="24"/>
      <w:szCs w:val="24"/>
      <w:lang w:val="en-US" w:eastAsia="zh-CN" w:bidi="ar-SA"/>
    </w:rPr>
  </w:style>
  <w:style w:type="paragraph" w:styleId="11">
    <w:name w:val="Title"/>
    <w:next w:val="1"/>
    <w:qFormat/>
    <w:uiPriority w:val="0"/>
    <w:pPr>
      <w:widowControl w:val="0"/>
      <w:spacing w:before="240" w:after="60" w:line="560" w:lineRule="exact"/>
      <w:ind w:firstLine="880" w:firstLineChars="200"/>
      <w:jc w:val="center"/>
      <w:outlineLvl w:val="0"/>
    </w:pPr>
    <w:rPr>
      <w:rFonts w:eastAsia="宋体" w:asciiTheme="majorHAnsi" w:hAnsiTheme="majorHAnsi" w:cstheme="majorBidi"/>
      <w:b/>
      <w:bCs/>
      <w:kern w:val="2"/>
      <w:sz w:val="36"/>
      <w:szCs w:val="32"/>
      <w:lang w:val="en-US" w:eastAsia="zh-CN" w:bidi="ar-SA"/>
    </w:rPr>
  </w:style>
  <w:style w:type="paragraph" w:styleId="12">
    <w:name w:val="Body Text First Indent 2"/>
    <w:next w:val="1"/>
    <w:qFormat/>
    <w:uiPriority w:val="0"/>
    <w:pPr>
      <w:widowControl w:val="0"/>
      <w:adjustRightInd w:val="0"/>
      <w:snapToGrid w:val="0"/>
      <w:spacing w:after="120" w:line="600" w:lineRule="exact"/>
      <w:ind w:firstLine="756" w:firstLineChars="200"/>
      <w:jc w:val="both"/>
    </w:pPr>
    <w:rPr>
      <w:rFonts w:ascii="Calibri" w:hAnsi="Calibri" w:eastAsia="仿宋_GB2312" w:cs="Times New Roman"/>
      <w:kern w:val="2"/>
      <w:sz w:val="32"/>
      <w:szCs w:val="22"/>
      <w:lang w:val="en-US" w:eastAsia="zh-CN" w:bidi="ar-SA"/>
    </w:rPr>
  </w:style>
  <w:style w:type="table" w:styleId="14">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6">
    <w:name w:val="Strong"/>
    <w:basedOn w:val="15"/>
    <w:qFormat/>
    <w:uiPriority w:val="0"/>
    <w:rPr>
      <w:b/>
    </w:rPr>
  </w:style>
  <w:style w:type="character" w:styleId="17">
    <w:name w:val="Hyperlink"/>
    <w:qFormat/>
    <w:uiPriority w:val="99"/>
    <w:rPr>
      <w:color w:val="0026E5" w:themeColor="hyperlink"/>
      <w:u w:val="single"/>
      <w14:textFill>
        <w14:solidFill>
          <w14:schemeClr w14:val="hlink"/>
        </w14:solidFill>
      </w14:textFill>
    </w:rPr>
  </w:style>
  <w:style w:type="character" w:styleId="18">
    <w:name w:val="footnote reference"/>
    <w:qFormat/>
    <w:uiPriority w:val="0"/>
    <w:rPr>
      <w:vertAlign w:val="superscript"/>
    </w:rPr>
  </w:style>
  <w:style w:type="paragraph" w:customStyle="1" w:styleId="19">
    <w:name w:val="Table Text"/>
    <w:semiHidden/>
    <w:qFormat/>
    <w:uiPriority w:val="0"/>
    <w:pPr>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0"/>
      <w:szCs w:val="20"/>
      <w:lang w:val="en-US" w:eastAsia="en-US" w:bidi="ar-SA"/>
    </w:rPr>
  </w:style>
  <w:style w:type="table" w:customStyle="1" w:styleId="20">
    <w:name w:val="Table Normal"/>
    <w:unhideWhenUsed/>
    <w:qFormat/>
    <w:uiPriority w:val="0"/>
    <w:tblPr>
      <w:tblCellMar>
        <w:top w:w="0" w:type="dxa"/>
        <w:left w:w="0" w:type="dxa"/>
        <w:bottom w:w="0" w:type="dxa"/>
        <w:right w:w="0" w:type="dxa"/>
      </w:tblCellMar>
    </w:tblPr>
  </w:style>
  <w:style w:type="paragraph" w:customStyle="1" w:styleId="21">
    <w:name w:val="专栏文字"/>
    <w:qFormat/>
    <w:uiPriority w:val="0"/>
    <w:pPr>
      <w:widowControl w:val="0"/>
      <w:tabs>
        <w:tab w:val="left" w:pos="420"/>
      </w:tabs>
      <w:spacing w:line="360" w:lineRule="auto"/>
      <w:ind w:firstLine="1044" w:firstLineChars="200"/>
      <w:jc w:val="both"/>
    </w:pPr>
    <w:rPr>
      <w:rFonts w:ascii="宋体" w:hAnsi="宋体" w:eastAsia="宋体" w:cs="Times New Roman"/>
      <w:kern w:val="2"/>
      <w:sz w:val="24"/>
      <w:szCs w:val="24"/>
      <w:lang w:val="en-US" w:eastAsia="zh-CN" w:bidi="ar-SA"/>
    </w:rPr>
  </w:style>
  <w:style w:type="paragraph" w:customStyle="1" w:styleId="22">
    <w:name w:val="专栏标题"/>
    <w:qFormat/>
    <w:uiPriority w:val="0"/>
    <w:pPr>
      <w:widowControl w:val="0"/>
      <w:numPr>
        <w:ilvl w:val="0"/>
        <w:numId w:val="1"/>
      </w:numPr>
      <w:ind w:left="0" w:firstLine="0"/>
      <w:jc w:val="center"/>
    </w:pPr>
    <w:rPr>
      <w:rFonts w:hint="eastAsia" w:ascii="黑体" w:hAnsi="黑体" w:eastAsia="黑体" w:cs="Times New Roman"/>
      <w:kern w:val="2"/>
      <w:sz w:val="30"/>
      <w:szCs w:val="24"/>
      <w:lang w:val="en-US" w:eastAsia="zh-CN" w:bidi="ar-SA"/>
    </w:rPr>
  </w:style>
  <w:style w:type="paragraph" w:customStyle="1" w:styleId="23">
    <w:name w:val="段后空0.3"/>
    <w:qFormat/>
    <w:uiPriority w:val="0"/>
    <w:pPr>
      <w:widowControl w:val="0"/>
      <w:spacing w:after="30" w:afterLines="30" w:line="560" w:lineRule="exact"/>
      <w:ind w:firstLine="641" w:firstLineChars="0"/>
      <w:jc w:val="both"/>
    </w:pPr>
    <w:rPr>
      <w:rFonts w:ascii="仿宋_GB2312" w:hAnsi="仿宋_GB2312"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92659b3f-c549-4d49-a74d-51d74ae1fbdf</errorID>
      <errorWord>点赞</errorWord>
      <group>L1_Official</group>
      <groupName>公文问题</groupName>
      <ability>L2_Official</ability>
      <abilityName>公文问题</abilityName>
      <candidateList/>
      <explain>公文中禁止出现该词语</explain>
      <paraID>25B005FD</paraID>
      <start>172</start>
      <end>174</end>
      <status>unmodified</status>
      <modifiedWord/>
      <trackRevisions>false</trackRevisions>
    </reviewItem>
    <reviewItem>
      <errorID>0759cc43-4b4e-40a4-8c18-d934d3fccb81</errorID>
      <errorWord>B站</errorWord>
      <group>L1_Official</group>
      <groupName>公文问题</groupName>
      <ability>L2_Official</ability>
      <abilityName>公文问题</abilityName>
      <candidateList/>
      <explain>公文中禁止出现该词语</explain>
      <paraID> 409710C</paraID>
      <start>51</start>
      <end>53</end>
      <status>unmodified</status>
      <modifiedWord/>
      <trackRevisions>false</trackRevisions>
    </reviewItem>
    <reviewItem>
      <errorID>87171209-17f2-47e3-bfa2-b8a356ee40d1</errorID>
      <errorWord>文体深度融合</errorWord>
      <group>L1_Political</group>
      <groupName>政治性问题</groupName>
      <ability>L2_Keyword</ability>
      <abilityName>固定表述</abilityName>
      <candidateList>
        <item>文旅深度融合</item>
      </candidateList>
      <explain>词汇“文旅深度融合”在特定场景下为固定表述形式，请确认此处的“文体深度融合”是否存在不当。</explain>
      <paraID>64094E7B</paraID>
      <start>170</start>
      <end>176</end>
      <status>unmodified</status>
      <modifiedWord/>
      <trackRevisions>false</trackRevisions>
    </reviewItem>
    <reviewItem>
      <errorID>963aa3ec-caff-498b-b468-fe00979e1b54</errorID>
      <errorWord>圣地</errorWord>
      <group>L1_Word</group>
      <groupName>字词问题</groupName>
      <ability>L2_Typo</ability>
      <abilityName>字词错误</abilityName>
      <candidateList>
        <item>胜地</item>
      </candidateList>
      <explain/>
      <paraID>138A9DC0</paraID>
      <start>30</start>
      <end>32</end>
      <status>unmodified</status>
      <modifiedWord/>
      <trackRevisions>false</trackRevisions>
    </reviewItem>
    <reviewItem>
      <errorID>c16c3131-8374-4a3c-889a-2dd75a76c8b5</errorID>
      <errorWord>、和</errorWord>
      <group>L1_Punc</group>
      <groupName>标点问题</groupName>
      <ability>L2_Punc_CN</ability>
      <abilityName/>
      <candidateList>
        <item>和</item>
      </candidateList>
      <explain>“及”“和”“等”连词前不宜使用顿号，建议删除（或使用逗号）。</explain>
      <paraID>1C5B8E23</paraID>
      <start>50</start>
      <end>52</end>
      <status>unmodified</status>
      <modifiedWord/>
      <trackRevisions>false</trackRevisions>
    </reviewItem>
    <reviewItem>
      <errorID>13f15d7f-89e8-425d-9556-871dfd14530b</errorID>
      <errorWord>、和</errorWord>
      <group>L1_Punc</group>
      <groupName>标点问题</groupName>
      <ability>L2_Punc_CN</ability>
      <abilityName/>
      <candidateList>
        <item>和</item>
      </candidateList>
      <explain>“及”“和”“等”连词前不宜使用顿号，建议删除（或使用逗号）。</explain>
      <paraID>51600053</paraID>
      <start>62</start>
      <end>64</end>
      <status>unmodified</status>
      <modifiedWord/>
      <trackRevisions>false</trackRevisions>
    </reviewItem>
    <reviewItem>
      <errorID>1b371fc0-eccf-46c2-a3e2-cac172f49835</errorID>
      <errorWord>、和</errorWord>
      <group>L1_Punc</group>
      <groupName>标点问题</groupName>
      <ability>L2_Punc_CN</ability>
      <abilityName/>
      <candidateList>
        <item>和</item>
      </candidateList>
      <explain>“及”“和”“等”连词前不宜使用顿号，建议删除（或使用逗号）。</explain>
      <paraID>51600053</paraID>
      <start>109</start>
      <end>111</end>
      <status>unmodified</status>
      <modifiedWord/>
      <trackRevisions>false</trackRevisions>
    </reviewItem>
    <reviewItem>
      <errorID>75a0bfa6-5651-404d-b3b8-f9bc34abfd0b</errorID>
      <errorWord>圣地</errorWord>
      <group>L1_Word</group>
      <groupName>字词问题</groupName>
      <ability>L2_Typo</ability>
      <abilityName>字词错误</abilityName>
      <candidateList>
        <item>胜地</item>
      </candidateList>
      <explain/>
      <paraID> 618C382</paraID>
      <start>174</start>
      <end>176</end>
      <status>unmodified</status>
      <modifiedWord/>
      <trackRevisions>false</trackRevisions>
    </reviewItem>
    <reviewItem>
      <errorID>38ae61ec-e011-404e-9836-96ad41df02aa</errorID>
      <errorWord>集美</errorWord>
      <group>L1_Official</group>
      <groupName>公文问题</groupName>
      <ability>L2_Official</ability>
      <abilityName>公文问题</abilityName>
      <candidateList/>
      <explain>公文中禁止出现该词语</explain>
      <paraID>56B7068E</paraID>
      <start>120</start>
      <end>122</end>
      <status>unmodified</status>
      <modifiedWord/>
      <trackRevisions>false</trackRevisions>
    </reviewItem>
    <reviewItem>
      <errorID>29398b3a-fdc6-4533-9375-687e7d4f8df1</errorID>
      <errorWord>全民健身服务体系</errorWord>
      <group>L1_Political</group>
      <groupName>政治性问题</groupName>
      <ability>L2_Unpolitical</ability>
      <abilityName>政治敏感错误</abilityName>
      <candidateList>
        <item>全民健身公共服务体系</item>
      </candidateList>
      <explain/>
      <paraID>67755C26</paraID>
      <start>63</start>
      <end>71</end>
      <status>unmodified</status>
      <modifiedWord/>
      <trackRevisions>false</trackRevisions>
    </reviewItem>
    <reviewItem>
      <errorID>99a8c8dd-1fc7-42d3-83ad-640dcbaa488a</errorID>
      <errorWord>。</errorWord>
      <group>L1_Punc</group>
      <groupName>标点问题</groupName>
      <ability>L2_Punc_CN</ability>
      <abilityName/>
      <candidateList/>
      <explain/>
      <paraID>67755C26</paraID>
      <start>147</start>
      <end>148</end>
      <status>unmodified</status>
      <modifiedWord/>
      <trackRevisions>false</trackRevisions>
    </reviewItem>
    <reviewItem>
      <errorID>0b551c44-647c-4917-a284-0647a33723c3</errorID>
      <errorWord>。</errorWord>
      <group>L1_Punc</group>
      <groupName>标点问题</groupName>
      <ability>L2_Punc_CN</ability>
      <abilityName/>
      <candidateList/>
      <explain/>
      <paraID>79357478</paraID>
      <start>73</start>
      <end>74</end>
      <status>unmodified</status>
      <modifiedWord/>
      <trackRevisions>false</trackRevisions>
    </reviewItem>
    <reviewItem>
      <errorID>09e49424-5fbd-4a55-8eac-8de744e1a4d3</errorID>
      <errorWord>套路</errorWord>
      <group>L1_Official</group>
      <groupName>公文问题</groupName>
      <ability>L2_Official</ability>
      <abilityName>公文问题</abilityName>
      <candidateList/>
      <explain>公文中禁止出现该词语</explain>
      <paraID>2365AD16</paraID>
      <start>33</start>
      <end>35</end>
      <status>unmodified</status>
      <modifiedWord/>
      <trackRevisions>false</trackRevisions>
    </reviewItem>
    <reviewItem>
      <errorID>ba52c79c-4290-48e7-94e0-a2da8054eb7d</errorID>
      <errorWord>、和</errorWord>
      <group>L1_Punc</group>
      <groupName>标点问题</groupName>
      <ability>L2_Punc_CN</ability>
      <abilityName/>
      <candidateList>
        <item>和</item>
      </candidateList>
      <explain>“及”“和”“等”连词前不宜使用顿号，建议删除（或使用逗号）。</explain>
      <paraID>24AC194B</paraID>
      <start>30</start>
      <end>32</end>
      <status>unmodified</status>
      <modifiedWord/>
      <trackRevisions>false</trackRevisions>
    </reviewItem>
    <reviewItem>
      <errorID>2eeeefb1-1ec9-4960-8e63-1c6f168a703d</errorID>
      <errorWord>兴隆区</errorWord>
      <group>L1_Knowledge</group>
      <groupName>知识性问题</groupName>
      <ability>L2_Location</ability>
      <abilityName>地名检查</abilityName>
      <candidateList>
        <item>兴隆台区</item>
      </candidateList>
      <explain>地名表述错误</explain>
      <paraID>7EE2860B</paraID>
      <start>95</start>
      <end>98</end>
      <status>unmodified</status>
      <modifiedWord/>
      <trackRevisions>false</trackRevisions>
    </reviewItem>
    <reviewItem>
      <errorID>9d042344-934b-4b38-b764-123a569964b3</errorID>
      <errorWord>兴隆区</errorWord>
      <group>L1_Knowledge</group>
      <groupName>知识性问题</groupName>
      <ability>L2_Location</ability>
      <abilityName>地名检查</abilityName>
      <candidateList>
        <item>兴隆台区</item>
      </candidateList>
      <explain>地名表述错误</explain>
      <paraID>66DD0451</paraID>
      <start>76</start>
      <end>79</end>
      <status>unmodified</status>
      <modifiedWord/>
      <trackRevisions>false</trackRevisions>
    </reviewItem>
    <reviewItem>
      <errorID>d81f2f26-ff63-4983-ba00-7d986a22998c</errorID>
      <errorWord>统筹发展与安全</errorWord>
      <group>L1_Political</group>
      <groupName>政治性问题</groupName>
      <ability>L2_Unpolitical</ability>
      <abilityName>政治敏感错误</abilityName>
      <candidateList>
        <item>统筹发展和安全</item>
      </candidateList>
      <explain/>
      <paraID>3764E3A5</paraID>
      <start>14</start>
      <end>21</end>
      <status>unmodified</status>
      <modifiedWord/>
      <trackRevisions>false</trackRevisions>
    </reviewItem>
    <reviewItem>
      <errorID>73f5bba9-81a8-45d9-b9ff-2764defa61d4</errorID>
      <errorWord>兴隆区</errorWord>
      <group>L1_Knowledge</group>
      <groupName>知识性问题</groupName>
      <ability>L2_Location</ability>
      <abilityName>地名检查</abilityName>
      <candidateList>
        <item>兴隆台区</item>
      </candidateList>
      <explain>地名表述错误</explain>
      <paraID>30657E2E</paraID>
      <start>0</start>
      <end>3</end>
      <status>unmodified</status>
      <modifiedWord/>
      <trackRevisions>false</trackRevisions>
    </reviewItem>
    <reviewItem>
      <errorID>eb2ea0b0-ea5f-423c-84be-e6fed325b4b9</errorID>
      <errorWord>兴隆区</errorWord>
      <group>L1_Knowledge</group>
      <groupName>知识性问题</groupName>
      <ability>L2_Location</ability>
      <abilityName>地名检查</abilityName>
      <candidateList>
        <item>兴隆台区</item>
      </candidateList>
      <explain>地名表述错误</explain>
      <paraID>50FF21D1</paraID>
      <start>0</start>
      <end>3</end>
      <status>unmodified</status>
      <modifiedWord/>
      <trackRevisions>false</trackRevisions>
    </reviewItem>
    <reviewItem>
      <errorID>53a9801f-cb6d-44a9-b2ad-b23e4dbcfcb1</errorID>
      <errorWord>兴隆区</errorWord>
      <group>L1_Knowledge</group>
      <groupName>知识性问题</groupName>
      <ability>L2_Location</ability>
      <abilityName>地名检查</abilityName>
      <candidateList>
        <item>兴隆台区</item>
      </candidateList>
      <explain>地名表述错误</explain>
      <paraID>1911BD2B</paraID>
      <start>0</start>
      <end>3</end>
      <status>unmodified</status>
      <modifiedWord/>
      <trackRevisions>false</trackRevisions>
    </reviewItem>
    <reviewItem>
      <errorID>f520cf03-71f1-4b20-acdc-df63525de13c</errorID>
      <errorWord>兴隆区</errorWord>
      <group>L1_Knowledge</group>
      <groupName>知识性问题</groupName>
      <ability>L2_Location</ability>
      <abilityName>地名检查</abilityName>
      <candidateList>
        <item>兴隆台区</item>
      </candidateList>
      <explain>地名表述错误</explain>
      <paraID>48B826F7</paraID>
      <start>0</start>
      <end>3</end>
      <status>unmodified</status>
      <modifiedWord/>
      <trackRevisions>false</trackRevisions>
    </reviewItem>
    <reviewItem>
      <errorID>168280fc-f904-4162-b279-31ef4233df1b</errorID>
      <errorWord>兴隆区</errorWord>
      <group>L1_Knowledge</group>
      <groupName>知识性问题</groupName>
      <ability>L2_Location</ability>
      <abilityName>地名检查</abilityName>
      <candidateList>
        <item>兴隆台区</item>
      </candidateList>
      <explain>地名表述错误</explain>
      <paraID>593BD961</paraID>
      <start>0</start>
      <end>3</end>
      <status>unmodified</status>
      <modifiedWord/>
      <trackRevisions>false</trackRevisions>
    </reviewItem>
    <reviewItem>
      <errorID>7f1a498d-8fbb-46d7-a995-baf8b50f698c</errorID>
      <errorWord>兴隆区</errorWord>
      <group>L1_Knowledge</group>
      <groupName>知识性问题</groupName>
      <ability>L2_Location</ability>
      <abilityName>地名检查</abilityName>
      <candidateList>
        <item>兴隆台区</item>
      </candidateList>
      <explain>地名表述错误</explain>
      <paraID>6EFA8480</paraID>
      <start>12</start>
      <end>15</end>
      <status>unmodified</status>
      <modifiedWord/>
      <trackRevisions>false</trackRevisions>
    </reviewItem>
    <reviewItem>
      <errorID>4e1a6293-3325-4710-ad58-c9ce601b9aac</errorID>
      <errorWord>兴隆区</errorWord>
      <group>L1_Knowledge</group>
      <groupName>知识性问题</groupName>
      <ability>L2_Location</ability>
      <abilityName>地名检查</abilityName>
      <candidateList>
        <item>兴隆台区</item>
      </candidateList>
      <explain>地名表述错误</explain>
      <paraID>159E8742</paraID>
      <start>0</start>
      <end>3</end>
      <status>unmodified</status>
      <modifiedWord/>
      <trackRevisions>false</trackRevisions>
    </reviewItem>
    <reviewItem>
      <errorID>15fa6ad4-ea9e-40b0-a89b-bd9af478668a</errorID>
      <errorWord>兴隆区</errorWord>
      <group>L1_Knowledge</group>
      <groupName>知识性问题</groupName>
      <ability>L2_Location</ability>
      <abilityName>地名检查</abilityName>
      <candidateList>
        <item>兴隆台区</item>
      </candidateList>
      <explain>地名表述错误</explain>
      <paraID>6671DA4E</paraID>
      <start>0</start>
      <end>3</end>
      <status>unmodified</status>
      <modifiedWord/>
      <trackRevisions>false</trackRevisions>
    </reviewItem>
    <reviewItem>
      <errorID>43d826f5-ce91-4044-9457-77af97af33e7</errorID>
      <errorWord>兴隆区</errorWord>
      <group>L1_Knowledge</group>
      <groupName>知识性问题</groupName>
      <ability>L2_Location</ability>
      <abilityName>地名检查</abilityName>
      <candidateList>
        <item>兴隆台区</item>
      </candidateList>
      <explain>地名表述错误</explain>
      <paraID>3297B735</paraID>
      <start>0</start>
      <end>3</end>
      <status>unmodified</status>
      <modifiedWord/>
      <trackRevisions>false</trackRevisions>
    </reviewItem>
    <reviewItem>
      <errorID>87f5f462-2f20-4f03-9479-8f28118490ad</errorID>
      <errorWord>兴隆区</errorWord>
      <group>L1_Knowledge</group>
      <groupName>知识性问题</groupName>
      <ability>L2_Location</ability>
      <abilityName>地名检查</abilityName>
      <candidateList>
        <item>兴隆台区</item>
      </candidateList>
      <explain>地名表述错误</explain>
      <paraID>7CF4DBD5</paraID>
      <start>0</start>
      <end>3</end>
      <status>unmodified</status>
      <modifiedWord/>
      <trackRevisions>false</trackRevisions>
    </reviewItem>
    <reviewItem>
      <errorID>80302061-817a-45ae-8211-62c998387a8e</errorID>
      <errorWord>兴隆区</errorWord>
      <group>L1_Knowledge</group>
      <groupName>知识性问题</groupName>
      <ability>L2_Location</ability>
      <abilityName>地名检查</abilityName>
      <candidateList>
        <item>兴隆台区</item>
      </candidateList>
      <explain>地名表述错误</explain>
      <paraID>2A209535</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73fe58-641f-4f33-b1ce-4a2cac9c5802}">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40782</Words>
  <Characters>41830</Characters>
  <Lines>0</Lines>
  <Paragraphs>0</Paragraphs>
  <TotalTime>36</TotalTime>
  <ScaleCrop>false</ScaleCrop>
  <LinksUpToDate>false</LinksUpToDate>
  <CharactersWithSpaces>41993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2026-02-05T06:59:00Z</dcterms:created>
  <dc:creator>95225</dc:creator>
  <cp:lastModifiedBy>Mr WL</cp:lastModifiedBy>
  <dcterms:modified xsi:type="dcterms:W3CDTF">2026-05-24T02:38:01Z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eyJoZGlkIjoiOWRmNGE3MjYwNWU1YTZlZGNjYjkxMmUyNzNiM2ZjNWEiLCJ1c2VySWQiOiIyOTgzODk0MTUifQ==</vt:lpwstr>
  </property>
  <property fmtid="{D5CDD505-2E9C-101B-9397-08002B2CF9AE}" pid="4" name="ICV">
    <vt:lpwstr>F60B1E95DFCE46918988120A89CC59CE_13</vt:lpwstr>
  </property>
</Properties>
</file>