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仿宋_GB2312" w:eastAsia="黑体" w:cs="仿宋_GB2312"/>
          <w:szCs w:val="32"/>
        </w:rPr>
      </w:pPr>
    </w:p>
    <w:p>
      <w:pPr>
        <w:spacing w:line="578" w:lineRule="exact"/>
        <w:jc w:val="left"/>
        <w:rPr>
          <w:rFonts w:hint="eastAsia" w:ascii="黑体" w:hAnsi="仿宋_GB2312" w:eastAsia="黑体" w:cs="仿宋_GB2312"/>
          <w:b/>
          <w:bCs/>
          <w:color w:val="000000"/>
          <w:szCs w:val="32"/>
        </w:rPr>
      </w:pPr>
    </w:p>
    <w:p>
      <w:pPr>
        <w:spacing w:line="578" w:lineRule="exact"/>
        <w:jc w:val="center"/>
        <w:rPr>
          <w:rFonts w:hint="eastAsia"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财政支出项目绩效评价报告</w:t>
      </w:r>
    </w:p>
    <w:p>
      <w:pPr>
        <w:spacing w:line="578" w:lineRule="exact"/>
        <w:outlineLvl w:val="0"/>
        <w:rPr>
          <w:rFonts w:hint="eastAsia" w:ascii="楷体_GB2312" w:eastAsia="楷体_GB2312"/>
          <w:color w:val="000000"/>
        </w:rPr>
      </w:pP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bCs/>
          <w:color w:val="000000"/>
        </w:rPr>
      </w:pPr>
      <w:r>
        <w:rPr>
          <w:rFonts w:hint="eastAsia" w:ascii="黑体" w:hAnsi="宋体" w:eastAsia="黑体"/>
          <w:bCs/>
          <w:color w:val="00000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（一）项目基本性质：项目为经常性项目；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主要内容：万宁市万城镇转运站一站扩建项目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涉及范围：市环卫园林局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2023年万城镇转运站一站扩建，新建垃圾转运站验收合格率100%，新建垃圾转运站建设及时率100%，有利于提升万城镇人居环境，有利于做好环境整治工作，投入成本1300万元。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color w:val="000000"/>
        </w:rPr>
        <w:t>二、</w:t>
      </w:r>
      <w:r>
        <w:rPr>
          <w:rFonts w:hint="eastAsia" w:ascii="黑体" w:eastAsia="黑体"/>
          <w:bCs/>
          <w:color w:val="000000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（1）</w:t>
      </w:r>
      <w:r>
        <w:rPr>
          <w:rFonts w:hint="eastAsia"/>
          <w:szCs w:val="32"/>
          <w:lang w:eastAsia="zh-CN"/>
        </w:rPr>
        <w:t>预算金额为</w:t>
      </w:r>
      <w:r>
        <w:rPr>
          <w:rFonts w:hint="eastAsia"/>
          <w:szCs w:val="32"/>
          <w:lang w:val="en-US" w:eastAsia="zh-CN"/>
        </w:rPr>
        <w:t>1300万元，截至2023年12月31日财政拨款支出数为,1278.14</w:t>
      </w:r>
      <w:bookmarkStart w:id="0" w:name="_GoBack"/>
      <w:bookmarkEnd w:id="0"/>
      <w:r>
        <w:rPr>
          <w:rFonts w:hint="eastAsia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（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）管理制度健全。已制定相应的项目资金管理办法，项目资金管理办法符合相关财务会计制度的规定。 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）资金使用合规。资金使用合规，支出依据规范，无虚列支出，无截留、挤占、挪用。 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）财务监控有效。已制定相应的监控机制，采取了相应的财务检查等必要的监控措施，财务及资产管理制度健全且能有效执行，会计核算规范。</w:t>
      </w:r>
    </w:p>
    <w:p>
      <w:pPr>
        <w:spacing w:line="578" w:lineRule="exact"/>
        <w:ind w:firstLine="640" w:firstLineChars="200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 w:ascii="楷体_GB2312" w:eastAsia="楷体_GB2312"/>
          <w:bCs/>
          <w:color w:val="000000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项目支出均按照有关规章制度和项目实施完成进度进行支付。并建立相关的管理制度，项目决策严格坚持科学决策、民主决策、依法决策的精神，有专人负责，严格执行决策责任追究制度。</w:t>
      </w:r>
    </w:p>
    <w:p>
      <w:pPr>
        <w:numPr>
          <w:ilvl w:val="0"/>
          <w:numId w:val="2"/>
        </w:numPr>
        <w:spacing w:line="578" w:lineRule="exact"/>
        <w:ind w:firstLine="640" w:firstLineChars="200"/>
        <w:outlineLvl w:val="0"/>
        <w:rPr>
          <w:rFonts w:hint="eastAsia" w:ascii="楷体_GB2312" w:eastAsia="楷体_GB2312"/>
          <w:bCs/>
          <w:color w:val="000000"/>
          <w:szCs w:val="32"/>
          <w:lang w:val="en-US" w:eastAsia="zh-CN"/>
        </w:rPr>
      </w:pPr>
      <w:r>
        <w:rPr>
          <w:rFonts w:hint="eastAsia" w:ascii="楷体_GB2312" w:eastAsia="楷体_GB2312"/>
          <w:bCs/>
          <w:color w:val="000000"/>
          <w:szCs w:val="32"/>
        </w:rPr>
        <w:t>项目管理情况分析</w:t>
      </w:r>
      <w:r>
        <w:rPr>
          <w:rFonts w:hint="eastAsia" w:ascii="楷体_GB2312" w:eastAsia="楷体_GB2312"/>
          <w:bCs/>
          <w:color w:val="000000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项目管理严格按照事业单位财务管理制度执行，日常会计执行支付监督，分级审批。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四、项目绩效情况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/>
          <w:szCs w:val="32"/>
          <w:lang w:eastAsia="zh-CN"/>
        </w:rPr>
        <w:t>项目预算</w:t>
      </w:r>
      <w:r>
        <w:rPr>
          <w:rFonts w:hint="eastAsia"/>
          <w:szCs w:val="32"/>
          <w:lang w:val="en-US" w:eastAsia="zh-CN"/>
        </w:rPr>
        <w:t>1300万元。</w:t>
      </w:r>
      <w:r>
        <w:rPr>
          <w:rFonts w:hint="eastAsia"/>
          <w:szCs w:val="32"/>
        </w:rPr>
        <w:t>从项目产出成本、产出时效、产出数量、产出质量等指标均达到或超过绩效目标，项目的有序推进、实施为确保价格监管高效、稳定运行，提高管理水平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项目的社会效益广泛，具有可持续性。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bCs/>
          <w:szCs w:val="32"/>
        </w:rPr>
        <w:t>五、综合评价情况及评价结论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项目</w:t>
      </w:r>
      <w:r>
        <w:rPr>
          <w:rFonts w:hint="eastAsia"/>
          <w:szCs w:val="32"/>
        </w:rPr>
        <w:t>经费使用规范，预算费用项目工作均按计划完成，年度绩效目标达到或超额完成，社会效益较好，项目可持续性强，服务对象总体满意度高。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六、主要经验及做法、存在的问题和建议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主要经验及做法</w:t>
      </w:r>
    </w:p>
    <w:p>
      <w:pPr>
        <w:widowControl/>
        <w:shd w:val="clear" w:color="auto" w:fill="FFFFFF"/>
        <w:spacing w:line="540" w:lineRule="exact"/>
        <w:ind w:firstLine="480"/>
        <w:rPr>
          <w:rFonts w:ascii="仿宋" w:hAnsi="仿宋" w:eastAsia="仿宋" w:cs="宋体"/>
          <w:b/>
          <w:color w:val="000000"/>
          <w:kern w:val="0"/>
          <w:szCs w:val="32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1、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加强资金监督管理，确保资金安全。我局根据项目资金使用情况，严格执行财务制度，规范资金管理，专项资金实行“专人管理、专项使用”原则</w:t>
      </w:r>
      <w:r>
        <w:rPr>
          <w:rFonts w:ascii="仿宋" w:hAnsi="仿宋" w:eastAsia="仿宋" w:cs="Courier New"/>
          <w:bCs/>
          <w:color w:val="000000"/>
          <w:szCs w:val="32"/>
        </w:rPr>
        <w:t>，对专项资金定期或不定期进行督查，</w:t>
      </w:r>
      <w:r>
        <w:rPr>
          <w:rFonts w:hint="eastAsia" w:ascii="仿宋" w:hAnsi="仿宋" w:eastAsia="仿宋" w:cs="Courier New"/>
          <w:bCs/>
          <w:color w:val="000000"/>
          <w:szCs w:val="32"/>
        </w:rPr>
        <w:t>做到不挪用、不挤占项目资金，</w:t>
      </w:r>
      <w:r>
        <w:rPr>
          <w:rFonts w:ascii="仿宋" w:hAnsi="仿宋" w:eastAsia="仿宋" w:cs="Courier New"/>
          <w:bCs/>
          <w:color w:val="000000"/>
          <w:szCs w:val="32"/>
        </w:rPr>
        <w:t>确保项目资金专款专用</w:t>
      </w:r>
      <w:r>
        <w:rPr>
          <w:rFonts w:hint="eastAsia" w:ascii="仿宋" w:hAnsi="仿宋" w:eastAsia="仿宋" w:cs="Courier New"/>
          <w:bCs/>
          <w:color w:val="000000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2、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及时归档项目材料，做好项目档案管理工作。在项目实施过程中产生的凭证、文件、资料、图片，及时归档，确保资料完整。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存在的问题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Courier New"/>
          <w:bCs/>
          <w:color w:val="000000"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eastAsia="zh-CN"/>
        </w:rPr>
        <w:t>无。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建议</w:t>
      </w:r>
    </w:p>
    <w:p>
      <w:pPr>
        <w:numPr>
          <w:ilvl w:val="0"/>
          <w:numId w:val="4"/>
        </w:numPr>
        <w:spacing w:line="578" w:lineRule="exact"/>
        <w:ind w:firstLine="640" w:firstLineChars="200"/>
        <w:outlineLvl w:val="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加强与会计业务对接</w:t>
      </w:r>
      <w:r>
        <w:rPr>
          <w:rFonts w:hint="eastAsia" w:ascii="仿宋" w:hAnsi="仿宋" w:eastAsia="仿宋" w:cs="仿宋"/>
          <w:bCs/>
          <w:szCs w:val="32"/>
        </w:rPr>
        <w:t>，确保</w:t>
      </w:r>
      <w:r>
        <w:rPr>
          <w:rFonts w:hint="eastAsia" w:ascii="仿宋" w:hAnsi="仿宋" w:eastAsia="仿宋" w:cs="仿宋"/>
          <w:bCs/>
          <w:szCs w:val="32"/>
          <w:lang w:eastAsia="zh-CN"/>
        </w:rPr>
        <w:t>规范使用项目资金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2、</w:t>
      </w:r>
      <w:r>
        <w:rPr>
          <w:rFonts w:hint="eastAsia" w:ascii="仿宋" w:hAnsi="仿宋" w:eastAsia="仿宋" w:cs="仿宋"/>
          <w:bCs/>
          <w:szCs w:val="32"/>
        </w:rPr>
        <w:t>加强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</w:t>
      </w:r>
      <w:r>
        <w:rPr>
          <w:rFonts w:hint="eastAsia" w:ascii="仿宋" w:hAnsi="仿宋" w:eastAsia="仿宋" w:cs="仿宋"/>
          <w:bCs/>
          <w:szCs w:val="32"/>
        </w:rPr>
        <w:t>管理意识，建立建全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</w:t>
      </w:r>
      <w:r>
        <w:rPr>
          <w:rFonts w:hint="eastAsia" w:ascii="仿宋" w:hAnsi="仿宋" w:eastAsia="仿宋" w:cs="仿宋"/>
          <w:bCs/>
          <w:szCs w:val="32"/>
        </w:rPr>
        <w:t>制度，加强对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财务管理业务知识学习</w:t>
      </w:r>
      <w:r>
        <w:rPr>
          <w:rFonts w:hint="eastAsia" w:ascii="仿宋" w:hAnsi="仿宋" w:eastAsia="仿宋" w:cs="仿宋"/>
          <w:bCs/>
          <w:szCs w:val="32"/>
        </w:rPr>
        <w:t>。</w:t>
      </w: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eastAsia="黑体"/>
          <w:bCs/>
          <w:szCs w:val="32"/>
        </w:rPr>
        <w:t>七、其他需说明的问题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6CA12"/>
    <w:multiLevelType w:val="singleLevel"/>
    <w:tmpl w:val="A796CA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3A2C30"/>
    <w:multiLevelType w:val="singleLevel"/>
    <w:tmpl w:val="B73A2C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98BD0DD"/>
    <w:multiLevelType w:val="singleLevel"/>
    <w:tmpl w:val="098BD0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42C413"/>
    <w:multiLevelType w:val="singleLevel"/>
    <w:tmpl w:val="5B42C4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C8"/>
    <w:rsid w:val="00033FA3"/>
    <w:rsid w:val="000512C3"/>
    <w:rsid w:val="00135905"/>
    <w:rsid w:val="0016581F"/>
    <w:rsid w:val="0027532C"/>
    <w:rsid w:val="002A2263"/>
    <w:rsid w:val="002A771F"/>
    <w:rsid w:val="00317434"/>
    <w:rsid w:val="003642C8"/>
    <w:rsid w:val="00577B9B"/>
    <w:rsid w:val="00733800"/>
    <w:rsid w:val="00915A4E"/>
    <w:rsid w:val="009B7D24"/>
    <w:rsid w:val="00A32D93"/>
    <w:rsid w:val="00A521B6"/>
    <w:rsid w:val="00B37B6B"/>
    <w:rsid w:val="00B53F1D"/>
    <w:rsid w:val="00B82012"/>
    <w:rsid w:val="00D246E0"/>
    <w:rsid w:val="00D407A3"/>
    <w:rsid w:val="00F32274"/>
    <w:rsid w:val="025078D7"/>
    <w:rsid w:val="0CE4290E"/>
    <w:rsid w:val="0DE123E5"/>
    <w:rsid w:val="0FAC079D"/>
    <w:rsid w:val="0FAE23BA"/>
    <w:rsid w:val="130377DE"/>
    <w:rsid w:val="173B4DB4"/>
    <w:rsid w:val="20B75A6C"/>
    <w:rsid w:val="21AA1120"/>
    <w:rsid w:val="23A9490D"/>
    <w:rsid w:val="23CE5973"/>
    <w:rsid w:val="2790727D"/>
    <w:rsid w:val="29CF65E1"/>
    <w:rsid w:val="2F2325DF"/>
    <w:rsid w:val="3030172B"/>
    <w:rsid w:val="322906F2"/>
    <w:rsid w:val="391351E0"/>
    <w:rsid w:val="3BC15F21"/>
    <w:rsid w:val="3F0654FA"/>
    <w:rsid w:val="405F2CE4"/>
    <w:rsid w:val="40980EFF"/>
    <w:rsid w:val="41B31DA0"/>
    <w:rsid w:val="42F66D61"/>
    <w:rsid w:val="44D96C6B"/>
    <w:rsid w:val="459B0C60"/>
    <w:rsid w:val="489828EB"/>
    <w:rsid w:val="4B4C17C9"/>
    <w:rsid w:val="4C2A69BC"/>
    <w:rsid w:val="54C274A7"/>
    <w:rsid w:val="58FC18BD"/>
    <w:rsid w:val="5923017D"/>
    <w:rsid w:val="5924640A"/>
    <w:rsid w:val="5A9C2AB1"/>
    <w:rsid w:val="5B735074"/>
    <w:rsid w:val="64440F5C"/>
    <w:rsid w:val="64793A71"/>
    <w:rsid w:val="66746D3B"/>
    <w:rsid w:val="667F47AF"/>
    <w:rsid w:val="6B5253C6"/>
    <w:rsid w:val="6D6E73ED"/>
    <w:rsid w:val="6EEF24B8"/>
    <w:rsid w:val="763E4801"/>
    <w:rsid w:val="78D611D7"/>
    <w:rsid w:val="7A6D1A81"/>
    <w:rsid w:val="7C6823FD"/>
    <w:rsid w:val="7CD54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 Char Char Char"/>
    <w:basedOn w:val="1"/>
    <w:uiPriority w:val="0"/>
    <w:pPr>
      <w:spacing w:line="360" w:lineRule="auto"/>
      <w:ind w:firstLine="200" w:firstLineChars="200"/>
    </w:pPr>
  </w:style>
  <w:style w:type="paragraph" w:styleId="7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8">
    <w:name w:val="页脚 Char"/>
    <w:basedOn w:val="5"/>
    <w:link w:val="2"/>
    <w:uiPriority w:val="99"/>
    <w:rPr>
      <w:rFonts w:ascii="仿宋_GB2312" w:hAnsi="新宋体" w:eastAsia="仿宋_GB2312"/>
      <w:kern w:val="2"/>
      <w:sz w:val="18"/>
      <w:szCs w:val="18"/>
    </w:rPr>
  </w:style>
  <w:style w:type="character" w:customStyle="1" w:styleId="9">
    <w:name w:val="页眉 Char"/>
    <w:basedOn w:val="5"/>
    <w:link w:val="3"/>
    <w:uiPriority w:val="0"/>
    <w:rPr>
      <w:rFonts w:ascii="仿宋_GB2312" w:hAnsi="新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bluepoint</Company>
  <Pages>6</Pages>
  <Words>341</Words>
  <Characters>1949</Characters>
  <Lines>16</Lines>
  <Paragraphs>4</Paragraphs>
  <TotalTime>5</TotalTime>
  <ScaleCrop>false</ScaleCrop>
  <LinksUpToDate>false</LinksUpToDate>
  <CharactersWithSpaces>2286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2019-06-26T07:29:00Z</dcterms:created>
  <dc:creator>万宁市信息报送</dc:creator>
  <cp:lastModifiedBy>Administrator</cp:lastModifiedBy>
  <cp:lastPrinted>2020-11-26T08:37:26Z</cp:lastPrinted>
  <dcterms:modified xsi:type="dcterms:W3CDTF">2024-06-19T08:15:00Z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15C45F6D33E94A118AC993C9DABA6547</vt:lpwstr>
  </property>
</Properties>
</file>